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rPr>
          <w:rFonts w:ascii="宋体" w:hAnsi="宋体"/>
          <w:color w:val="000000"/>
          <w:sz w:val="18"/>
        </w:rPr>
      </w:pPr>
      <w:bookmarkStart w:id="0" w:name="_GoBack"/>
      <w:bookmarkEnd w:id="0"/>
    </w:p>
    <w:p>
      <w:pPr>
        <w:spacing w:line="360" w:lineRule="auto"/>
        <w:rPr>
          <w:rFonts w:asciiTheme="minorEastAsia" w:hAnsiTheme="minorEastAsia" w:eastAsiaTheme="minorEastAsia"/>
          <w:b/>
          <w:sz w:val="48"/>
          <w:szCs w:val="32"/>
        </w:rPr>
      </w:pPr>
      <w:r>
        <w:rPr>
          <w:rFonts w:asciiTheme="minorEastAsia" w:hAnsiTheme="minorEastAsia" w:eastAsiaTheme="minorEastAsia"/>
          <w:b/>
          <w:sz w:val="48"/>
          <w:szCs w:val="32"/>
        </w:rPr>
        <w:drawing>
          <wp:anchor distT="0" distB="0" distL="114300" distR="114300" simplePos="0" relativeHeight="251659264" behindDoc="0" locked="0" layoutInCell="1" allowOverlap="1">
            <wp:simplePos x="0" y="0"/>
            <wp:positionH relativeFrom="column">
              <wp:posOffset>3611245</wp:posOffset>
            </wp:positionH>
            <wp:positionV relativeFrom="paragraph">
              <wp:posOffset>50800</wp:posOffset>
            </wp:positionV>
            <wp:extent cx="1842770" cy="395605"/>
            <wp:effectExtent l="19050" t="0" r="5080" b="0"/>
            <wp:wrapSquare wrapText="bothSides"/>
            <wp:docPr id="3" name="图片 3" descr="说明: 未标题-1副本"/>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说明: 未标题-1副本"/>
                    <pic:cNvPicPr>
                      <a:picLocks noChangeAspect="1" noChangeArrowheads="1"/>
                    </pic:cNvPicPr>
                  </pic:nvPicPr>
                  <pic:blipFill>
                    <a:blip r:embed="rId4"/>
                    <a:srcRect/>
                    <a:stretch>
                      <a:fillRect/>
                    </a:stretch>
                  </pic:blipFill>
                  <pic:spPr>
                    <a:xfrm>
                      <a:off x="0" y="0"/>
                      <a:ext cx="1842770" cy="395605"/>
                    </a:xfrm>
                    <a:prstGeom prst="rect">
                      <a:avLst/>
                    </a:prstGeom>
                    <a:noFill/>
                  </pic:spPr>
                </pic:pic>
              </a:graphicData>
            </a:graphic>
          </wp:anchor>
        </w:drawing>
      </w:r>
    </w:p>
    <w:p>
      <w:pPr>
        <w:spacing w:line="360" w:lineRule="auto"/>
        <w:jc w:val="center"/>
        <w:rPr>
          <w:rFonts w:asciiTheme="minorEastAsia" w:hAnsiTheme="minorEastAsia" w:eastAsiaTheme="minorEastAsia"/>
          <w:b/>
          <w:sz w:val="48"/>
          <w:szCs w:val="32"/>
        </w:rPr>
      </w:pPr>
    </w:p>
    <w:p>
      <w:pPr>
        <w:spacing w:line="360" w:lineRule="auto"/>
        <w:jc w:val="center"/>
        <w:rPr>
          <w:rFonts w:asciiTheme="minorEastAsia" w:hAnsiTheme="minorEastAsia" w:eastAsiaTheme="minorEastAsia"/>
          <w:b/>
          <w:sz w:val="48"/>
          <w:szCs w:val="32"/>
        </w:rPr>
      </w:pPr>
    </w:p>
    <w:p>
      <w:pPr>
        <w:spacing w:line="360" w:lineRule="auto"/>
        <w:rPr>
          <w:rFonts w:ascii="宋体" w:hAnsi="宋体"/>
          <w:sz w:val="18"/>
        </w:rPr>
      </w:pPr>
    </w:p>
    <w:p>
      <w:pPr>
        <w:spacing w:line="360" w:lineRule="auto"/>
        <w:ind w:firstLine="1260" w:firstLineChars="700"/>
        <w:rPr>
          <w:rFonts w:ascii="宋体" w:hAnsi="宋体"/>
          <w:sz w:val="18"/>
        </w:rPr>
      </w:pPr>
    </w:p>
    <w:p>
      <w:pPr>
        <w:spacing w:line="360" w:lineRule="auto"/>
        <w:ind w:firstLine="1260" w:firstLineChars="700"/>
        <w:rPr>
          <w:rFonts w:ascii="宋体" w:hAnsi="宋体"/>
          <w:sz w:val="18"/>
        </w:rPr>
      </w:pPr>
    </w:p>
    <w:p>
      <w:pPr>
        <w:spacing w:line="360" w:lineRule="auto"/>
        <w:ind w:firstLine="1260" w:firstLineChars="700"/>
        <w:rPr>
          <w:rFonts w:ascii="宋体" w:hAnsi="宋体"/>
          <w:sz w:val="18"/>
        </w:rPr>
      </w:pPr>
    </w:p>
    <w:p>
      <w:pPr>
        <w:spacing w:line="360" w:lineRule="auto"/>
        <w:ind w:firstLine="1316" w:firstLineChars="298"/>
        <w:rPr>
          <w:rFonts w:ascii="宋体" w:hAnsi="宋体" w:cs="Times New Roman"/>
          <w:b/>
          <w:sz w:val="44"/>
          <w:szCs w:val="36"/>
        </w:rPr>
      </w:pPr>
      <w:r>
        <w:rPr>
          <w:rFonts w:hint="eastAsia" w:ascii="宋体" w:hAnsi="宋体" w:cs="Times New Roman"/>
          <w:b/>
          <w:sz w:val="44"/>
          <w:szCs w:val="36"/>
        </w:rPr>
        <w:t xml:space="preserve">内蒙古上都第二发电有限责任公司 </w:t>
      </w:r>
    </w:p>
    <w:p>
      <w:pPr>
        <w:spacing w:line="360" w:lineRule="auto"/>
        <w:jc w:val="center"/>
        <w:rPr>
          <w:rFonts w:ascii="黑体" w:hAnsi="黑体" w:cstheme="minorBidi"/>
          <w:sz w:val="32"/>
          <w:szCs w:val="32"/>
        </w:rPr>
      </w:pPr>
      <w:r>
        <w:rPr>
          <w:rFonts w:hint="eastAsia" w:ascii="宋体" w:hAnsi="宋体" w:cs="Times New Roman"/>
          <w:b/>
          <w:color w:val="000000" w:themeColor="text1"/>
          <w:sz w:val="32"/>
          <w:szCs w:val="32"/>
          <w:u w:val="single"/>
          <w14:textFill>
            <w14:solidFill>
              <w14:schemeClr w14:val="tx1"/>
            </w14:solidFill>
          </w14:textFill>
        </w:rPr>
        <w:t>综合队报土建材料采购</w:t>
      </w:r>
      <w:r>
        <w:rPr>
          <w:rFonts w:hint="eastAsia" w:ascii="宋体" w:hAnsi="宋体" w:cs="Times New Roman"/>
          <w:b/>
          <w:sz w:val="32"/>
          <w:szCs w:val="32"/>
        </w:rPr>
        <w:t>项目</w:t>
      </w:r>
    </w:p>
    <w:p>
      <w:pPr>
        <w:spacing w:line="360" w:lineRule="auto"/>
        <w:jc w:val="center"/>
        <w:rPr>
          <w:rFonts w:ascii="黑体" w:hAnsi="黑体" w:eastAsia="黑体"/>
          <w:sz w:val="44"/>
          <w:szCs w:val="44"/>
        </w:rPr>
      </w:pPr>
    </w:p>
    <w:p>
      <w:pPr>
        <w:spacing w:line="360" w:lineRule="auto"/>
        <w:jc w:val="center"/>
        <w:rPr>
          <w:rFonts w:ascii="黑体" w:hAnsi="黑体" w:eastAsia="黑体"/>
          <w:sz w:val="72"/>
          <w:szCs w:val="72"/>
        </w:rPr>
      </w:pPr>
      <w:r>
        <w:rPr>
          <w:rFonts w:hint="eastAsia" w:ascii="黑体" w:hAnsi="宋体" w:eastAsia="黑体"/>
          <w:kern w:val="0"/>
          <w:sz w:val="48"/>
          <w:szCs w:val="48"/>
        </w:rPr>
        <w:t>电商询价采购</w:t>
      </w:r>
      <w:r>
        <w:rPr>
          <w:rFonts w:hint="eastAsia" w:ascii="黑体" w:hAnsi="黑体" w:eastAsia="黑体"/>
          <w:sz w:val="48"/>
          <w:szCs w:val="48"/>
        </w:rPr>
        <w:t>文件</w:t>
      </w:r>
    </w:p>
    <w:p>
      <w:pPr>
        <w:spacing w:line="360" w:lineRule="auto"/>
        <w:rPr>
          <w:rFonts w:ascii="宋体" w:hAnsi="宋体"/>
          <w:b/>
          <w:sz w:val="32"/>
        </w:rPr>
      </w:pPr>
    </w:p>
    <w:p>
      <w:pPr>
        <w:spacing w:line="360" w:lineRule="auto"/>
        <w:ind w:firstLine="1767" w:firstLineChars="550"/>
        <w:rPr>
          <w:rFonts w:ascii="宋体" w:hAnsi="宋体"/>
          <w:b/>
          <w:sz w:val="32"/>
        </w:rPr>
      </w:pPr>
      <w:r>
        <w:rPr>
          <w:rFonts w:hint="eastAsia" w:ascii="宋体" w:hAnsi="宋体"/>
          <w:b/>
          <w:sz w:val="32"/>
        </w:rPr>
        <w:t>编制：</w:t>
      </w:r>
    </w:p>
    <w:p>
      <w:pPr>
        <w:spacing w:line="360" w:lineRule="auto"/>
        <w:ind w:firstLine="1760" w:firstLineChars="550"/>
        <w:rPr>
          <w:rFonts w:ascii="宋体" w:hAnsi="宋体"/>
          <w:sz w:val="32"/>
        </w:rPr>
      </w:pPr>
    </w:p>
    <w:p>
      <w:pPr>
        <w:spacing w:line="360" w:lineRule="auto"/>
        <w:ind w:firstLine="1767" w:firstLineChars="550"/>
        <w:rPr>
          <w:rFonts w:ascii="宋体" w:hAnsi="宋体"/>
          <w:b/>
          <w:sz w:val="32"/>
        </w:rPr>
      </w:pPr>
      <w:r>
        <w:rPr>
          <w:rFonts w:hint="eastAsia" w:ascii="宋体" w:hAnsi="宋体"/>
          <w:b/>
          <w:sz w:val="32"/>
        </w:rPr>
        <w:t>审核：</w:t>
      </w:r>
    </w:p>
    <w:p>
      <w:pPr>
        <w:spacing w:line="360" w:lineRule="auto"/>
        <w:ind w:firstLine="1767" w:firstLineChars="550"/>
        <w:rPr>
          <w:rFonts w:ascii="宋体" w:hAnsi="宋体"/>
          <w:b/>
          <w:sz w:val="32"/>
        </w:rPr>
      </w:pPr>
    </w:p>
    <w:p>
      <w:pPr>
        <w:spacing w:line="360" w:lineRule="auto"/>
        <w:ind w:firstLine="1767" w:firstLineChars="550"/>
        <w:rPr>
          <w:rFonts w:ascii="宋体" w:hAnsi="宋体"/>
          <w:b/>
          <w:sz w:val="32"/>
        </w:rPr>
      </w:pPr>
      <w:r>
        <w:rPr>
          <w:rFonts w:hint="eastAsia" w:ascii="宋体" w:hAnsi="宋体"/>
          <w:b/>
          <w:sz w:val="32"/>
        </w:rPr>
        <w:t>审批：</w:t>
      </w:r>
    </w:p>
    <w:p>
      <w:pPr>
        <w:spacing w:line="360" w:lineRule="auto"/>
        <w:rPr>
          <w:rFonts w:ascii="宋体" w:hAnsi="宋体"/>
          <w:sz w:val="32"/>
        </w:rPr>
      </w:pPr>
    </w:p>
    <w:p>
      <w:pPr>
        <w:spacing w:line="360" w:lineRule="auto"/>
        <w:jc w:val="right"/>
        <w:rPr>
          <w:rFonts w:ascii="宋体" w:hAnsi="宋体"/>
          <w:b/>
          <w:sz w:val="32"/>
        </w:rPr>
      </w:pPr>
      <w:r>
        <w:rPr>
          <w:rFonts w:hint="eastAsia" w:ascii="宋体" w:hAnsi="宋体"/>
          <w:b/>
          <w:sz w:val="32"/>
        </w:rPr>
        <w:t>采购方：内蒙古上都第二发电有限责任公司（盖章）</w:t>
      </w:r>
    </w:p>
    <w:p>
      <w:pPr>
        <w:spacing w:line="360" w:lineRule="auto"/>
        <w:jc w:val="right"/>
        <w:rPr>
          <w:rFonts w:ascii="宋体" w:hAnsi="宋体"/>
          <w:b/>
          <w:sz w:val="32"/>
        </w:rPr>
      </w:pPr>
    </w:p>
    <w:p>
      <w:pPr>
        <w:spacing w:line="360" w:lineRule="auto"/>
        <w:ind w:firstLine="5474" w:firstLineChars="1704"/>
        <w:rPr>
          <w:rFonts w:ascii="宋体" w:hAnsi="宋体"/>
          <w:b/>
          <w:sz w:val="32"/>
        </w:rPr>
      </w:pPr>
      <w:r>
        <w:rPr>
          <w:rFonts w:hint="eastAsia" w:ascii="宋体" w:hAnsi="宋体"/>
          <w:b/>
          <w:sz w:val="32"/>
        </w:rPr>
        <w:t>2022年8月 30 日</w:t>
      </w:r>
    </w:p>
    <w:p>
      <w:pPr>
        <w:spacing w:line="360" w:lineRule="auto"/>
        <w:jc w:val="center"/>
        <w:rPr>
          <w:rFonts w:asciiTheme="minorEastAsia" w:hAnsiTheme="minorEastAsia" w:eastAsiaTheme="minorEastAsia"/>
          <w:b/>
          <w:sz w:val="48"/>
          <w:szCs w:val="32"/>
        </w:rPr>
      </w:pPr>
    </w:p>
    <w:p>
      <w:pPr>
        <w:spacing w:line="360" w:lineRule="auto"/>
        <w:jc w:val="center"/>
        <w:rPr>
          <w:rFonts w:asciiTheme="minorEastAsia" w:hAnsiTheme="minorEastAsia" w:eastAsiaTheme="minorEastAsia"/>
          <w:b/>
          <w:sz w:val="48"/>
          <w:szCs w:val="32"/>
        </w:rPr>
      </w:pPr>
    </w:p>
    <w:p>
      <w:pPr>
        <w:spacing w:line="360" w:lineRule="auto"/>
        <w:jc w:val="center"/>
        <w:rPr>
          <w:rFonts w:asciiTheme="minorEastAsia" w:hAnsiTheme="minorEastAsia" w:eastAsiaTheme="minorEastAsia"/>
          <w:b/>
          <w:sz w:val="48"/>
          <w:szCs w:val="32"/>
        </w:rPr>
      </w:pPr>
    </w:p>
    <w:p>
      <w:pPr>
        <w:spacing w:line="360" w:lineRule="auto"/>
        <w:jc w:val="center"/>
        <w:rPr>
          <w:rFonts w:asciiTheme="minorEastAsia" w:hAnsiTheme="minorEastAsia" w:eastAsiaTheme="minorEastAsia"/>
          <w:b/>
          <w:sz w:val="48"/>
          <w:szCs w:val="32"/>
        </w:rPr>
      </w:pPr>
    </w:p>
    <w:p>
      <w:pPr>
        <w:spacing w:line="360" w:lineRule="auto"/>
        <w:jc w:val="center"/>
        <w:rPr>
          <w:rFonts w:asciiTheme="minorEastAsia" w:hAnsiTheme="minorEastAsia" w:eastAsiaTheme="minorEastAsia"/>
          <w:b/>
          <w:sz w:val="48"/>
          <w:szCs w:val="32"/>
        </w:rPr>
      </w:pPr>
    </w:p>
    <w:p>
      <w:pPr>
        <w:spacing w:line="360" w:lineRule="auto"/>
        <w:jc w:val="center"/>
        <w:rPr>
          <w:rFonts w:asciiTheme="minorEastAsia" w:hAnsiTheme="minorEastAsia" w:eastAsiaTheme="minorEastAsia"/>
          <w:b/>
          <w:sz w:val="48"/>
          <w:szCs w:val="32"/>
        </w:rPr>
      </w:pPr>
    </w:p>
    <w:p>
      <w:pPr>
        <w:spacing w:line="360" w:lineRule="auto"/>
        <w:jc w:val="center"/>
        <w:rPr>
          <w:rFonts w:asciiTheme="minorEastAsia" w:hAnsiTheme="minorEastAsia" w:eastAsiaTheme="minorEastAsia"/>
          <w:b/>
          <w:sz w:val="48"/>
          <w:szCs w:val="32"/>
        </w:rPr>
      </w:pPr>
      <w:r>
        <w:rPr>
          <w:rFonts w:hint="eastAsia" w:asciiTheme="minorEastAsia" w:hAnsiTheme="minorEastAsia" w:eastAsiaTheme="minorEastAsia"/>
          <w:b/>
          <w:sz w:val="48"/>
          <w:szCs w:val="32"/>
        </w:rPr>
        <w:t>注意事项</w:t>
      </w:r>
    </w:p>
    <w:p>
      <w:pPr>
        <w:spacing w:line="360" w:lineRule="auto"/>
        <w:ind w:firstLine="810"/>
        <w:jc w:val="left"/>
        <w:rPr>
          <w:rFonts w:asciiTheme="minorEastAsia" w:hAnsiTheme="minorEastAsia" w:eastAsiaTheme="minorEastAsia"/>
          <w:b/>
          <w:sz w:val="36"/>
          <w:szCs w:val="40"/>
        </w:rPr>
      </w:pPr>
      <w:r>
        <w:rPr>
          <w:rFonts w:hint="eastAsia" w:asciiTheme="minorEastAsia" w:hAnsiTheme="minorEastAsia" w:eastAsiaTheme="minorEastAsia"/>
          <w:b/>
          <w:sz w:val="36"/>
          <w:szCs w:val="40"/>
        </w:rPr>
        <w:t>供应商</w:t>
      </w:r>
      <w:r>
        <w:rPr>
          <w:rFonts w:asciiTheme="minorEastAsia" w:hAnsiTheme="minorEastAsia" w:eastAsiaTheme="minorEastAsia"/>
          <w:b/>
          <w:sz w:val="36"/>
          <w:szCs w:val="40"/>
        </w:rPr>
        <w:t>报价</w:t>
      </w:r>
      <w:r>
        <w:rPr>
          <w:rFonts w:hint="eastAsia" w:asciiTheme="minorEastAsia" w:hAnsiTheme="minorEastAsia" w:eastAsiaTheme="minorEastAsia"/>
          <w:b/>
          <w:sz w:val="36"/>
          <w:szCs w:val="40"/>
        </w:rPr>
        <w:t>时凡</w:t>
      </w:r>
      <w:r>
        <w:rPr>
          <w:rFonts w:asciiTheme="minorEastAsia" w:hAnsiTheme="minorEastAsia" w:eastAsiaTheme="minorEastAsia"/>
          <w:b/>
          <w:color w:val="FF0000"/>
          <w:sz w:val="36"/>
          <w:szCs w:val="40"/>
        </w:rPr>
        <w:t>涉及</w:t>
      </w:r>
      <w:r>
        <w:rPr>
          <w:rFonts w:hint="eastAsia" w:asciiTheme="minorEastAsia" w:hAnsiTheme="minorEastAsia" w:eastAsiaTheme="minorEastAsia"/>
          <w:b/>
          <w:color w:val="FF0000"/>
          <w:sz w:val="36"/>
          <w:szCs w:val="40"/>
        </w:rPr>
        <w:t>以下条款</w:t>
      </w:r>
      <w:r>
        <w:rPr>
          <w:rFonts w:asciiTheme="minorEastAsia" w:hAnsiTheme="minorEastAsia" w:eastAsiaTheme="minorEastAsia"/>
          <w:b/>
          <w:sz w:val="36"/>
          <w:szCs w:val="40"/>
        </w:rPr>
        <w:t>均</w:t>
      </w:r>
      <w:r>
        <w:rPr>
          <w:rFonts w:asciiTheme="minorEastAsia" w:hAnsiTheme="minorEastAsia" w:eastAsiaTheme="minorEastAsia"/>
          <w:b/>
          <w:color w:val="FF0000"/>
          <w:sz w:val="36"/>
          <w:szCs w:val="40"/>
        </w:rPr>
        <w:t>视为无效报价</w:t>
      </w:r>
      <w:r>
        <w:rPr>
          <w:rFonts w:hint="eastAsia" w:asciiTheme="minorEastAsia" w:hAnsiTheme="minorEastAsia" w:eastAsiaTheme="minorEastAsia"/>
          <w:b/>
          <w:color w:val="FF0000"/>
          <w:sz w:val="36"/>
          <w:szCs w:val="40"/>
        </w:rPr>
        <w:t>并</w:t>
      </w:r>
      <w:r>
        <w:rPr>
          <w:rFonts w:asciiTheme="minorEastAsia" w:hAnsiTheme="minorEastAsia" w:eastAsiaTheme="minorEastAsia"/>
          <w:b/>
          <w:color w:val="FF0000"/>
          <w:sz w:val="36"/>
          <w:szCs w:val="40"/>
        </w:rPr>
        <w:t>纳入供应商考评</w:t>
      </w:r>
      <w:r>
        <w:rPr>
          <w:rFonts w:hint="eastAsia" w:asciiTheme="minorEastAsia" w:hAnsiTheme="minorEastAsia" w:eastAsiaTheme="minorEastAsia"/>
          <w:b/>
          <w:sz w:val="36"/>
          <w:szCs w:val="40"/>
        </w:rPr>
        <w:t>，具体</w:t>
      </w:r>
      <w:r>
        <w:rPr>
          <w:rFonts w:asciiTheme="minorEastAsia" w:hAnsiTheme="minorEastAsia" w:eastAsiaTheme="minorEastAsia"/>
          <w:b/>
          <w:sz w:val="36"/>
          <w:szCs w:val="40"/>
        </w:rPr>
        <w:t>条款如下</w:t>
      </w:r>
      <w:r>
        <w:rPr>
          <w:rFonts w:hint="eastAsia" w:asciiTheme="minorEastAsia" w:hAnsiTheme="minorEastAsia" w:eastAsiaTheme="minorEastAsia"/>
          <w:b/>
          <w:sz w:val="36"/>
          <w:szCs w:val="40"/>
        </w:rPr>
        <w:t>：</w:t>
      </w:r>
    </w:p>
    <w:p>
      <w:pPr>
        <w:spacing w:line="360" w:lineRule="auto"/>
        <w:ind w:firstLine="810"/>
        <w:jc w:val="left"/>
        <w:rPr>
          <w:rFonts w:asciiTheme="minorEastAsia" w:hAnsiTheme="minorEastAsia"/>
          <w:color w:val="00B0F0"/>
          <w:sz w:val="36"/>
          <w:szCs w:val="40"/>
        </w:rPr>
      </w:pPr>
      <w:r>
        <w:rPr>
          <w:rFonts w:hint="eastAsia" w:asciiTheme="minorEastAsia" w:hAnsiTheme="minorEastAsia"/>
          <w:sz w:val="36"/>
          <w:szCs w:val="40"/>
        </w:rPr>
        <w:t>1.供应商</w:t>
      </w:r>
      <w:r>
        <w:rPr>
          <w:rFonts w:hint="eastAsia" w:asciiTheme="minorEastAsia" w:hAnsiTheme="minorEastAsia"/>
          <w:color w:val="FF0000"/>
          <w:sz w:val="36"/>
          <w:szCs w:val="40"/>
        </w:rPr>
        <w:t>单位负责人为同一人或者存在控股、管理关系</w:t>
      </w:r>
      <w:r>
        <w:rPr>
          <w:rFonts w:hint="eastAsia" w:asciiTheme="minorEastAsia" w:hAnsiTheme="minorEastAsia"/>
          <w:sz w:val="36"/>
          <w:szCs w:val="40"/>
        </w:rPr>
        <w:t>的；</w:t>
      </w:r>
    </w:p>
    <w:p>
      <w:pPr>
        <w:spacing w:line="360" w:lineRule="auto"/>
        <w:ind w:firstLine="810"/>
        <w:jc w:val="left"/>
        <w:rPr>
          <w:rFonts w:asciiTheme="minorEastAsia" w:hAnsiTheme="minorEastAsia"/>
          <w:sz w:val="36"/>
          <w:szCs w:val="40"/>
        </w:rPr>
      </w:pPr>
      <w:r>
        <w:rPr>
          <w:rFonts w:hint="eastAsia" w:asciiTheme="minorEastAsia" w:hAnsiTheme="minorEastAsia"/>
          <w:sz w:val="36"/>
          <w:szCs w:val="40"/>
        </w:rPr>
        <w:t>2.供应商处于</w:t>
      </w:r>
      <w:r>
        <w:rPr>
          <w:rFonts w:hint="eastAsia" w:asciiTheme="minorEastAsia" w:hAnsiTheme="minorEastAsia"/>
          <w:color w:val="FF0000"/>
          <w:sz w:val="36"/>
          <w:szCs w:val="40"/>
        </w:rPr>
        <w:t>人民法院“失信被执行人”名单</w:t>
      </w:r>
      <w:r>
        <w:rPr>
          <w:rFonts w:hint="eastAsia" w:asciiTheme="minorEastAsia" w:hAnsiTheme="minorEastAsia"/>
          <w:sz w:val="36"/>
          <w:szCs w:val="40"/>
        </w:rPr>
        <w:t>或</w:t>
      </w:r>
      <w:r>
        <w:rPr>
          <w:rFonts w:hint="eastAsia" w:asciiTheme="minorEastAsia" w:hAnsiTheme="minorEastAsia"/>
          <w:color w:val="FF0000"/>
          <w:sz w:val="36"/>
          <w:szCs w:val="40"/>
        </w:rPr>
        <w:t>工商行政管理机关“严重违法失信企业”名单</w:t>
      </w:r>
      <w:r>
        <w:rPr>
          <w:rFonts w:hint="eastAsia" w:asciiTheme="minorEastAsia" w:hAnsiTheme="minorEastAsia"/>
          <w:sz w:val="36"/>
          <w:szCs w:val="40"/>
        </w:rPr>
        <w:t>的；</w:t>
      </w:r>
    </w:p>
    <w:p>
      <w:pPr>
        <w:spacing w:line="360" w:lineRule="auto"/>
        <w:ind w:firstLine="810"/>
        <w:jc w:val="left"/>
        <w:rPr>
          <w:rFonts w:asciiTheme="minorEastAsia" w:hAnsiTheme="minorEastAsia"/>
          <w:sz w:val="36"/>
          <w:szCs w:val="40"/>
        </w:rPr>
      </w:pPr>
      <w:r>
        <w:rPr>
          <w:rFonts w:hint="eastAsia" w:asciiTheme="minorEastAsia" w:hAnsiTheme="minorEastAsia"/>
          <w:sz w:val="36"/>
          <w:szCs w:val="40"/>
        </w:rPr>
        <w:t>3.供应商</w:t>
      </w:r>
      <w:r>
        <w:rPr>
          <w:rFonts w:hint="eastAsia" w:asciiTheme="minorEastAsia" w:hAnsiTheme="minorEastAsia"/>
          <w:color w:val="FF0000"/>
          <w:sz w:val="36"/>
          <w:szCs w:val="40"/>
        </w:rPr>
        <w:t>不上传附件（响应文件），上传的文件未加盖本单位公章，上传的资质非原件扫描</w:t>
      </w:r>
      <w:r>
        <w:rPr>
          <w:rFonts w:hint="eastAsia" w:asciiTheme="minorEastAsia" w:hAnsiTheme="minorEastAsia"/>
          <w:sz w:val="36"/>
          <w:szCs w:val="40"/>
        </w:rPr>
        <w:t>的。</w:t>
      </w:r>
    </w:p>
    <w:p>
      <w:pPr>
        <w:spacing w:line="360" w:lineRule="auto"/>
        <w:ind w:firstLine="810"/>
        <w:jc w:val="left"/>
        <w:rPr>
          <w:rFonts w:asciiTheme="minorEastAsia" w:hAnsiTheme="minorEastAsia"/>
          <w:sz w:val="36"/>
          <w:szCs w:val="40"/>
        </w:rPr>
      </w:pPr>
      <w:r>
        <w:rPr>
          <w:rFonts w:hint="eastAsia" w:asciiTheme="minorEastAsia" w:hAnsiTheme="minorEastAsia"/>
          <w:sz w:val="36"/>
          <w:szCs w:val="40"/>
        </w:rPr>
        <w:t>4.供应商</w:t>
      </w:r>
      <w:r>
        <w:rPr>
          <w:rFonts w:hint="eastAsia" w:asciiTheme="minorEastAsia" w:hAnsiTheme="minorEastAsia"/>
          <w:color w:val="FF0000"/>
          <w:sz w:val="36"/>
          <w:szCs w:val="40"/>
        </w:rPr>
        <w:t>不上传报价清单</w:t>
      </w:r>
      <w:r>
        <w:rPr>
          <w:rFonts w:hint="eastAsia" w:asciiTheme="minorEastAsia" w:hAnsiTheme="minorEastAsia"/>
          <w:sz w:val="36"/>
          <w:szCs w:val="40"/>
        </w:rPr>
        <w:t>或</w:t>
      </w:r>
      <w:r>
        <w:rPr>
          <w:rFonts w:hint="eastAsia" w:asciiTheme="minorEastAsia" w:hAnsiTheme="minorEastAsia"/>
          <w:color w:val="FF0000"/>
          <w:sz w:val="36"/>
          <w:szCs w:val="40"/>
        </w:rPr>
        <w:t>报价清单未盖章, 分项报价与总价不一致(计算错误或缺项、漏项、多项)</w:t>
      </w:r>
      <w:r>
        <w:rPr>
          <w:rFonts w:hint="eastAsia" w:asciiTheme="minorEastAsia" w:hAnsiTheme="minorEastAsia"/>
          <w:sz w:val="36"/>
          <w:szCs w:val="40"/>
        </w:rPr>
        <w:t>的。</w:t>
      </w:r>
    </w:p>
    <w:p>
      <w:pPr>
        <w:spacing w:line="360" w:lineRule="auto"/>
        <w:ind w:firstLine="810"/>
        <w:jc w:val="left"/>
        <w:rPr>
          <w:rFonts w:asciiTheme="minorEastAsia" w:hAnsiTheme="minorEastAsia"/>
          <w:sz w:val="36"/>
          <w:szCs w:val="40"/>
        </w:rPr>
      </w:pPr>
      <w:r>
        <w:rPr>
          <w:rFonts w:hint="eastAsia" w:asciiTheme="minorEastAsia" w:hAnsiTheme="minorEastAsia"/>
          <w:sz w:val="36"/>
          <w:szCs w:val="40"/>
        </w:rPr>
        <w:t>5.供应商</w:t>
      </w:r>
      <w:r>
        <w:rPr>
          <w:rFonts w:hint="eastAsia" w:asciiTheme="minorEastAsia" w:hAnsiTheme="minorEastAsia"/>
          <w:color w:val="FF0000"/>
          <w:sz w:val="36"/>
          <w:szCs w:val="40"/>
        </w:rPr>
        <w:t>无法接受后付款</w:t>
      </w:r>
      <w:r>
        <w:rPr>
          <w:rFonts w:hint="eastAsia" w:asciiTheme="minorEastAsia" w:hAnsiTheme="minorEastAsia"/>
          <w:sz w:val="36"/>
          <w:szCs w:val="40"/>
        </w:rPr>
        <w:t>方式。</w:t>
      </w:r>
    </w:p>
    <w:p>
      <w:pPr>
        <w:spacing w:line="360" w:lineRule="auto"/>
        <w:ind w:firstLine="810"/>
        <w:jc w:val="left"/>
        <w:rPr>
          <w:rFonts w:asciiTheme="minorEastAsia" w:hAnsiTheme="minorEastAsia"/>
          <w:sz w:val="36"/>
          <w:szCs w:val="40"/>
        </w:rPr>
      </w:pPr>
      <w:r>
        <w:rPr>
          <w:rFonts w:hint="eastAsia" w:asciiTheme="minorEastAsia" w:hAnsiTheme="minorEastAsia"/>
          <w:sz w:val="36"/>
          <w:szCs w:val="40"/>
        </w:rPr>
        <w:t>6.供应商</w:t>
      </w:r>
      <w:r>
        <w:rPr>
          <w:rFonts w:hint="eastAsia" w:asciiTheme="minorEastAsia" w:hAnsiTheme="minorEastAsia"/>
          <w:color w:val="FF0000"/>
          <w:sz w:val="36"/>
          <w:szCs w:val="40"/>
        </w:rPr>
        <w:t>提供的资格、业绩、证明等材料存在造假行为</w:t>
      </w:r>
      <w:r>
        <w:rPr>
          <w:rFonts w:hint="eastAsia" w:asciiTheme="minorEastAsia" w:hAnsiTheme="minorEastAsia"/>
          <w:sz w:val="36"/>
          <w:szCs w:val="40"/>
        </w:rPr>
        <w:t>的。</w:t>
      </w:r>
    </w:p>
    <w:p>
      <w:pPr>
        <w:spacing w:line="360" w:lineRule="auto"/>
        <w:ind w:firstLine="810"/>
        <w:jc w:val="left"/>
        <w:rPr>
          <w:rFonts w:asciiTheme="minorEastAsia" w:hAnsiTheme="minorEastAsia"/>
          <w:sz w:val="36"/>
          <w:szCs w:val="40"/>
        </w:rPr>
      </w:pPr>
      <w:r>
        <w:rPr>
          <w:rFonts w:hint="eastAsia" w:asciiTheme="minorEastAsia" w:hAnsiTheme="minorEastAsia"/>
          <w:sz w:val="36"/>
          <w:szCs w:val="40"/>
        </w:rPr>
        <w:t>7.供应商</w:t>
      </w:r>
      <w:r>
        <w:rPr>
          <w:rFonts w:hint="eastAsia" w:asciiTheme="minorEastAsia" w:hAnsiTheme="minorEastAsia"/>
          <w:color w:val="FF0000"/>
          <w:sz w:val="36"/>
          <w:szCs w:val="40"/>
        </w:rPr>
        <w:t>存在</w:t>
      </w:r>
      <w:r>
        <w:rPr>
          <w:rFonts w:asciiTheme="minorEastAsia" w:hAnsiTheme="minorEastAsia"/>
          <w:color w:val="FF0000"/>
          <w:sz w:val="36"/>
          <w:szCs w:val="40"/>
        </w:rPr>
        <w:t>上传数据或响应文件的互联网协议地址（</w:t>
      </w:r>
      <w:r>
        <w:rPr>
          <w:rFonts w:hint="eastAsia" w:asciiTheme="minorEastAsia" w:hAnsiTheme="minorEastAsia"/>
          <w:color w:val="FF0000"/>
          <w:sz w:val="36"/>
          <w:szCs w:val="40"/>
        </w:rPr>
        <w:t>IP地址</w:t>
      </w:r>
      <w:r>
        <w:rPr>
          <w:rFonts w:asciiTheme="minorEastAsia" w:hAnsiTheme="minorEastAsia"/>
          <w:color w:val="FF0000"/>
          <w:sz w:val="36"/>
          <w:szCs w:val="40"/>
        </w:rPr>
        <w:t>）</w:t>
      </w:r>
      <w:r>
        <w:rPr>
          <w:rFonts w:hint="eastAsia" w:asciiTheme="minorEastAsia" w:hAnsiTheme="minorEastAsia"/>
          <w:color w:val="FF0000"/>
          <w:sz w:val="36"/>
          <w:szCs w:val="40"/>
        </w:rPr>
        <w:t>信息</w:t>
      </w:r>
      <w:r>
        <w:rPr>
          <w:rFonts w:asciiTheme="minorEastAsia" w:hAnsiTheme="minorEastAsia"/>
          <w:color w:val="FF0000"/>
          <w:sz w:val="36"/>
          <w:szCs w:val="40"/>
        </w:rPr>
        <w:t>检查一致</w:t>
      </w:r>
      <w:r>
        <w:rPr>
          <w:rFonts w:hint="eastAsia" w:asciiTheme="minorEastAsia" w:hAnsiTheme="minorEastAsia"/>
          <w:sz w:val="36"/>
          <w:szCs w:val="40"/>
        </w:rPr>
        <w:t>的</w:t>
      </w:r>
      <w:r>
        <w:rPr>
          <w:rFonts w:asciiTheme="minorEastAsia" w:hAnsiTheme="minorEastAsia"/>
          <w:sz w:val="36"/>
          <w:szCs w:val="40"/>
        </w:rPr>
        <w:t>。</w:t>
      </w:r>
    </w:p>
    <w:p>
      <w:pPr>
        <w:pStyle w:val="19"/>
        <w:pageBreakBefore/>
        <w:jc w:val="center"/>
        <w:rPr>
          <w:b/>
          <w:sz w:val="44"/>
          <w:szCs w:val="44"/>
        </w:rPr>
      </w:pPr>
      <w:r>
        <w:rPr>
          <w:rFonts w:hint="eastAsia"/>
          <w:b/>
          <w:sz w:val="44"/>
          <w:szCs w:val="44"/>
        </w:rPr>
        <w:t>总目录</w:t>
      </w:r>
    </w:p>
    <w:p>
      <w:pPr>
        <w:pStyle w:val="19"/>
        <w:rPr>
          <w:sz w:val="32"/>
          <w:szCs w:val="32"/>
        </w:rPr>
      </w:pPr>
    </w:p>
    <w:p>
      <w:pPr>
        <w:pStyle w:val="19"/>
        <w:spacing w:line="360" w:lineRule="auto"/>
        <w:rPr>
          <w:rFonts w:asciiTheme="minorEastAsia" w:hAnsiTheme="minorEastAsia"/>
          <w:b/>
          <w:color w:val="000000" w:themeColor="text1"/>
          <w:sz w:val="32"/>
          <w:szCs w:val="32"/>
          <w14:textFill>
            <w14:solidFill>
              <w14:schemeClr w14:val="tx1"/>
            </w14:solidFill>
          </w14:textFill>
        </w:rPr>
      </w:pPr>
      <w:r>
        <w:rPr>
          <w:rFonts w:hint="eastAsia" w:asciiTheme="minorEastAsia" w:hAnsiTheme="minorEastAsia"/>
          <w:b/>
          <w:color w:val="000000" w:themeColor="text1"/>
          <w:sz w:val="32"/>
          <w:szCs w:val="32"/>
          <w14:textFill>
            <w14:solidFill>
              <w14:schemeClr w14:val="tx1"/>
            </w14:solidFill>
          </w14:textFill>
        </w:rPr>
        <w:t>第一章  供应商须知</w:t>
      </w:r>
    </w:p>
    <w:p>
      <w:pPr>
        <w:pStyle w:val="19"/>
        <w:spacing w:line="360" w:lineRule="auto"/>
        <w:rPr>
          <w:b/>
          <w:sz w:val="32"/>
          <w:szCs w:val="32"/>
        </w:rPr>
      </w:pPr>
      <w:r>
        <w:rPr>
          <w:rFonts w:hint="eastAsia"/>
          <w:b/>
          <w:sz w:val="32"/>
          <w:szCs w:val="32"/>
        </w:rPr>
        <w:t>第二章  采购项目概况</w:t>
      </w:r>
    </w:p>
    <w:p>
      <w:pPr>
        <w:pStyle w:val="19"/>
        <w:spacing w:line="360" w:lineRule="auto"/>
        <w:rPr>
          <w:b/>
          <w:sz w:val="32"/>
          <w:szCs w:val="32"/>
        </w:rPr>
      </w:pPr>
      <w:r>
        <w:rPr>
          <w:rFonts w:hint="eastAsia"/>
          <w:b/>
          <w:sz w:val="32"/>
          <w:szCs w:val="32"/>
        </w:rPr>
        <w:t>第三章  供应商资格要求</w:t>
      </w:r>
    </w:p>
    <w:p>
      <w:pPr>
        <w:pStyle w:val="19"/>
        <w:spacing w:line="360" w:lineRule="auto"/>
        <w:rPr>
          <w:b/>
          <w:sz w:val="32"/>
          <w:szCs w:val="32"/>
        </w:rPr>
      </w:pPr>
      <w:r>
        <w:rPr>
          <w:rFonts w:hint="eastAsia"/>
          <w:b/>
          <w:sz w:val="32"/>
          <w:szCs w:val="32"/>
        </w:rPr>
        <w:t>第四章  技术规范要求</w:t>
      </w:r>
    </w:p>
    <w:p>
      <w:pPr>
        <w:pageBreakBefore/>
        <w:spacing w:line="360" w:lineRule="auto"/>
        <w:jc w:val="center"/>
        <w:rPr>
          <w:rFonts w:ascii="黑体" w:hAnsi="黑体" w:eastAsia="黑体"/>
          <w:sz w:val="32"/>
          <w:szCs w:val="32"/>
        </w:rPr>
      </w:pPr>
      <w:r>
        <w:rPr>
          <w:rFonts w:hint="eastAsia" w:ascii="黑体" w:hAnsi="黑体" w:eastAsia="黑体"/>
          <w:sz w:val="40"/>
          <w:szCs w:val="32"/>
        </w:rPr>
        <w:t>第一章 供应商须知</w:t>
      </w:r>
    </w:p>
    <w:p>
      <w:pPr>
        <w:spacing w:line="360" w:lineRule="auto"/>
        <w:jc w:val="center"/>
        <w:rPr>
          <w:rFonts w:ascii="黑体" w:hAnsi="黑体" w:eastAsia="黑体" w:cs="Arial"/>
          <w:sz w:val="32"/>
          <w:szCs w:val="32"/>
        </w:rPr>
      </w:pPr>
      <w:r>
        <w:rPr>
          <w:rFonts w:hint="eastAsia" w:ascii="黑体" w:hAnsi="黑体" w:eastAsia="黑体"/>
          <w:color w:val="000000"/>
          <w:sz w:val="32"/>
          <w:szCs w:val="32"/>
          <w:u w:val="single"/>
        </w:rPr>
        <w:t>综合队报土建检修材料采购</w:t>
      </w:r>
      <w:r>
        <w:rPr>
          <w:rFonts w:hint="eastAsia" w:ascii="黑体" w:hAnsi="黑体" w:eastAsia="黑体" w:cs="Arial"/>
          <w:sz w:val="32"/>
          <w:szCs w:val="32"/>
        </w:rPr>
        <w:t>项目</w:t>
      </w:r>
    </w:p>
    <w:p>
      <w:pPr>
        <w:spacing w:line="360" w:lineRule="auto"/>
        <w:jc w:val="center"/>
        <w:rPr>
          <w:rFonts w:eastAsia="黑体"/>
          <w:b/>
          <w:sz w:val="48"/>
        </w:rPr>
      </w:pPr>
      <w:r>
        <w:rPr>
          <w:rFonts w:hint="eastAsia" w:ascii="黑体" w:hAnsi="黑体" w:eastAsia="黑体"/>
          <w:sz w:val="36"/>
          <w:szCs w:val="36"/>
        </w:rPr>
        <w:t>电商询价采购文件</w:t>
      </w:r>
    </w:p>
    <w:tbl>
      <w:tblPr>
        <w:tblStyle w:val="9"/>
        <w:tblW w:w="8859" w:type="dxa"/>
        <w:tblInd w:w="-318" w:type="dxa"/>
        <w:tblLayout w:type="fixed"/>
        <w:tblCellMar>
          <w:top w:w="0" w:type="dxa"/>
          <w:left w:w="108" w:type="dxa"/>
          <w:bottom w:w="0" w:type="dxa"/>
          <w:right w:w="108" w:type="dxa"/>
        </w:tblCellMar>
      </w:tblPr>
      <w:tblGrid>
        <w:gridCol w:w="1137"/>
        <w:gridCol w:w="2128"/>
        <w:gridCol w:w="5594"/>
      </w:tblGrid>
      <w:tr>
        <w:tblPrEx>
          <w:tblCellMar>
            <w:top w:w="0" w:type="dxa"/>
            <w:left w:w="108" w:type="dxa"/>
            <w:bottom w:w="0" w:type="dxa"/>
            <w:right w:w="108" w:type="dxa"/>
          </w:tblCellMar>
        </w:tblPrEx>
        <w:trPr>
          <w:trHeight w:val="315" w:hRule="atLeast"/>
        </w:trPr>
        <w:tc>
          <w:tcPr>
            <w:tcW w:w="1137"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cs="宋体"/>
                <w:kern w:val="0"/>
                <w:sz w:val="22"/>
              </w:rPr>
            </w:pPr>
            <w:r>
              <w:rPr>
                <w:rFonts w:hint="eastAsia" w:ascii="宋体" w:hAnsi="宋体" w:cs="宋体"/>
                <w:kern w:val="0"/>
                <w:sz w:val="22"/>
              </w:rPr>
              <w:t>条款号</w:t>
            </w:r>
          </w:p>
        </w:tc>
        <w:tc>
          <w:tcPr>
            <w:tcW w:w="2128" w:type="dxa"/>
            <w:tcBorders>
              <w:top w:val="single" w:color="auto" w:sz="4" w:space="0"/>
              <w:left w:val="nil"/>
              <w:bottom w:val="single" w:color="auto" w:sz="4" w:space="0"/>
              <w:right w:val="single" w:color="auto" w:sz="4" w:space="0"/>
            </w:tcBorders>
            <w:shd w:val="clear" w:color="000000" w:fill="FFFFFF"/>
            <w:vAlign w:val="center"/>
          </w:tcPr>
          <w:p>
            <w:pPr>
              <w:widowControl/>
              <w:jc w:val="center"/>
              <w:rPr>
                <w:rFonts w:ascii="宋体" w:hAnsi="宋体" w:cs="宋体"/>
                <w:kern w:val="0"/>
                <w:sz w:val="22"/>
              </w:rPr>
            </w:pPr>
            <w:r>
              <w:rPr>
                <w:rFonts w:hint="eastAsia" w:ascii="宋体" w:hAnsi="宋体" w:cs="宋体"/>
                <w:kern w:val="0"/>
                <w:sz w:val="22"/>
              </w:rPr>
              <w:t>条款名称</w:t>
            </w:r>
          </w:p>
        </w:tc>
        <w:tc>
          <w:tcPr>
            <w:tcW w:w="5594" w:type="dxa"/>
            <w:tcBorders>
              <w:top w:val="single" w:color="auto" w:sz="8" w:space="0"/>
              <w:left w:val="nil"/>
              <w:bottom w:val="single" w:color="auto" w:sz="8" w:space="0"/>
              <w:right w:val="single" w:color="auto" w:sz="8" w:space="0"/>
            </w:tcBorders>
            <w:shd w:val="clear" w:color="000000" w:fill="FFFFFF"/>
            <w:vAlign w:val="center"/>
          </w:tcPr>
          <w:p>
            <w:pPr>
              <w:widowControl/>
              <w:jc w:val="center"/>
              <w:rPr>
                <w:rFonts w:ascii="宋体" w:hAnsi="宋体" w:cs="宋体"/>
                <w:kern w:val="0"/>
                <w:sz w:val="22"/>
              </w:rPr>
            </w:pPr>
            <w:r>
              <w:rPr>
                <w:rFonts w:hint="eastAsia" w:ascii="宋体" w:hAnsi="宋体" w:cs="宋体"/>
                <w:kern w:val="0"/>
                <w:sz w:val="22"/>
              </w:rPr>
              <w:t>主要内容</w:t>
            </w:r>
          </w:p>
        </w:tc>
      </w:tr>
      <w:tr>
        <w:tblPrEx>
          <w:tblCellMar>
            <w:top w:w="0" w:type="dxa"/>
            <w:left w:w="108" w:type="dxa"/>
            <w:bottom w:w="0" w:type="dxa"/>
            <w:right w:w="108" w:type="dxa"/>
          </w:tblCellMar>
        </w:tblPrEx>
        <w:trPr>
          <w:trHeight w:val="300" w:hRule="atLeast"/>
        </w:trPr>
        <w:tc>
          <w:tcPr>
            <w:tcW w:w="1137" w:type="dxa"/>
            <w:tcBorders>
              <w:top w:val="nil"/>
              <w:left w:val="single" w:color="auto" w:sz="4" w:space="0"/>
              <w:bottom w:val="single" w:color="auto" w:sz="4" w:space="0"/>
              <w:right w:val="single" w:color="auto" w:sz="4" w:space="0"/>
            </w:tcBorders>
            <w:shd w:val="clear" w:color="000000" w:fill="FFFFFF"/>
            <w:vAlign w:val="center"/>
          </w:tcPr>
          <w:p>
            <w:pPr>
              <w:widowControl/>
              <w:jc w:val="center"/>
              <w:rPr>
                <w:rFonts w:cs="宋体"/>
                <w:kern w:val="0"/>
                <w:sz w:val="22"/>
              </w:rPr>
            </w:pPr>
            <w:r>
              <w:rPr>
                <w:rFonts w:cs="宋体"/>
                <w:kern w:val="0"/>
                <w:sz w:val="22"/>
              </w:rPr>
              <w:t>1</w:t>
            </w:r>
          </w:p>
        </w:tc>
        <w:tc>
          <w:tcPr>
            <w:tcW w:w="2128" w:type="dxa"/>
            <w:tcBorders>
              <w:top w:val="nil"/>
              <w:left w:val="nil"/>
              <w:bottom w:val="nil"/>
              <w:right w:val="single" w:color="auto" w:sz="4" w:space="0"/>
            </w:tcBorders>
            <w:shd w:val="clear" w:color="000000" w:fill="FFFFFF"/>
            <w:vAlign w:val="center"/>
          </w:tcPr>
          <w:p>
            <w:pPr>
              <w:widowControl/>
              <w:jc w:val="left"/>
              <w:rPr>
                <w:rFonts w:ascii="宋体" w:hAnsi="宋体" w:cs="宋体"/>
                <w:b/>
                <w:bCs/>
                <w:kern w:val="0"/>
                <w:sz w:val="22"/>
              </w:rPr>
            </w:pPr>
            <w:r>
              <w:rPr>
                <w:rFonts w:hint="eastAsia" w:ascii="宋体" w:hAnsi="宋体" w:cs="宋体"/>
                <w:b/>
                <w:bCs/>
                <w:kern w:val="0"/>
                <w:sz w:val="22"/>
              </w:rPr>
              <w:t>采购名称</w:t>
            </w:r>
          </w:p>
        </w:tc>
        <w:tc>
          <w:tcPr>
            <w:tcW w:w="5594" w:type="dxa"/>
            <w:tcBorders>
              <w:top w:val="nil"/>
              <w:left w:val="nil"/>
              <w:bottom w:val="nil"/>
              <w:right w:val="single" w:color="auto" w:sz="8" w:space="0"/>
            </w:tcBorders>
            <w:shd w:val="clear" w:color="000000" w:fill="FFFFFF"/>
            <w:vAlign w:val="center"/>
          </w:tcPr>
          <w:p>
            <w:pPr>
              <w:widowControl/>
              <w:jc w:val="left"/>
              <w:rPr>
                <w:rFonts w:ascii="宋体" w:hAnsi="宋体" w:cs="宋体"/>
                <w:b/>
                <w:bCs/>
                <w:kern w:val="0"/>
                <w:sz w:val="24"/>
                <w:szCs w:val="24"/>
              </w:rPr>
            </w:pPr>
            <w:r>
              <w:rPr>
                <w:rFonts w:hint="eastAsia" w:ascii="宋体" w:hAnsi="宋体" w:cs="宋体"/>
                <w:kern w:val="0"/>
                <w:sz w:val="22"/>
              </w:rPr>
              <w:t>土建材料</w:t>
            </w:r>
          </w:p>
        </w:tc>
      </w:tr>
      <w:tr>
        <w:tblPrEx>
          <w:tblCellMar>
            <w:top w:w="0" w:type="dxa"/>
            <w:left w:w="108" w:type="dxa"/>
            <w:bottom w:w="0" w:type="dxa"/>
            <w:right w:w="108" w:type="dxa"/>
          </w:tblCellMar>
        </w:tblPrEx>
        <w:trPr>
          <w:trHeight w:val="270" w:hRule="atLeast"/>
        </w:trPr>
        <w:tc>
          <w:tcPr>
            <w:tcW w:w="1137" w:type="dxa"/>
            <w:vMerge w:val="restart"/>
            <w:tcBorders>
              <w:top w:val="nil"/>
              <w:left w:val="single" w:color="auto" w:sz="4" w:space="0"/>
              <w:bottom w:val="single" w:color="auto" w:sz="4" w:space="0"/>
              <w:right w:val="single" w:color="auto" w:sz="4" w:space="0"/>
            </w:tcBorders>
            <w:shd w:val="clear" w:color="000000" w:fill="FFFFFF"/>
            <w:vAlign w:val="center"/>
          </w:tcPr>
          <w:p>
            <w:pPr>
              <w:widowControl/>
              <w:jc w:val="center"/>
              <w:rPr>
                <w:rFonts w:cs="宋体"/>
                <w:kern w:val="0"/>
                <w:sz w:val="22"/>
              </w:rPr>
            </w:pPr>
            <w:r>
              <w:rPr>
                <w:rFonts w:cs="宋体"/>
                <w:kern w:val="0"/>
                <w:sz w:val="22"/>
              </w:rPr>
              <w:t>2</w:t>
            </w:r>
          </w:p>
        </w:tc>
        <w:tc>
          <w:tcPr>
            <w:tcW w:w="2128"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left"/>
              <w:rPr>
                <w:rFonts w:ascii="宋体" w:hAnsi="宋体" w:cs="宋体"/>
                <w:kern w:val="0"/>
                <w:sz w:val="22"/>
              </w:rPr>
            </w:pPr>
            <w:r>
              <w:rPr>
                <w:rFonts w:hint="eastAsia" w:ascii="宋体" w:hAnsi="宋体" w:cs="宋体"/>
                <w:kern w:val="0"/>
                <w:sz w:val="22"/>
              </w:rPr>
              <w:t>采购单位</w:t>
            </w:r>
          </w:p>
        </w:tc>
        <w:tc>
          <w:tcPr>
            <w:tcW w:w="5594" w:type="dxa"/>
            <w:tcBorders>
              <w:top w:val="single" w:color="auto" w:sz="4" w:space="0"/>
              <w:left w:val="nil"/>
              <w:bottom w:val="nil"/>
              <w:right w:val="single" w:color="auto" w:sz="4" w:space="0"/>
            </w:tcBorders>
            <w:shd w:val="clear" w:color="000000" w:fill="FFFFFF"/>
            <w:vAlign w:val="center"/>
          </w:tcPr>
          <w:p>
            <w:pPr>
              <w:widowControl/>
              <w:jc w:val="left"/>
              <w:rPr>
                <w:rFonts w:ascii="宋体" w:hAnsi="宋体" w:cs="宋体"/>
                <w:kern w:val="0"/>
                <w:sz w:val="22"/>
              </w:rPr>
            </w:pPr>
            <w:r>
              <w:rPr>
                <w:rFonts w:hint="eastAsia" w:ascii="宋体" w:hAnsi="宋体" w:cs="宋体"/>
                <w:kern w:val="0"/>
                <w:sz w:val="22"/>
              </w:rPr>
              <w:t>项目单位：内蒙古上都第二发电有限责任公司</w:t>
            </w:r>
          </w:p>
        </w:tc>
      </w:tr>
      <w:tr>
        <w:tblPrEx>
          <w:tblCellMar>
            <w:top w:w="0" w:type="dxa"/>
            <w:left w:w="108" w:type="dxa"/>
            <w:bottom w:w="0" w:type="dxa"/>
            <w:right w:w="108" w:type="dxa"/>
          </w:tblCellMar>
        </w:tblPrEx>
        <w:trPr>
          <w:trHeight w:val="270" w:hRule="atLeast"/>
        </w:trPr>
        <w:tc>
          <w:tcPr>
            <w:tcW w:w="1137" w:type="dxa"/>
            <w:vMerge w:val="continue"/>
            <w:tcBorders>
              <w:top w:val="nil"/>
              <w:left w:val="single" w:color="auto" w:sz="4" w:space="0"/>
              <w:bottom w:val="single" w:color="auto" w:sz="4" w:space="0"/>
              <w:right w:val="single" w:color="auto" w:sz="4" w:space="0"/>
            </w:tcBorders>
            <w:vAlign w:val="center"/>
          </w:tcPr>
          <w:p>
            <w:pPr>
              <w:widowControl/>
              <w:jc w:val="left"/>
              <w:rPr>
                <w:rFonts w:cs="宋体"/>
                <w:kern w:val="0"/>
                <w:sz w:val="22"/>
              </w:rPr>
            </w:pPr>
          </w:p>
        </w:tc>
        <w:tc>
          <w:tcPr>
            <w:tcW w:w="2128"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kern w:val="0"/>
                <w:sz w:val="22"/>
              </w:rPr>
            </w:pPr>
          </w:p>
        </w:tc>
        <w:tc>
          <w:tcPr>
            <w:tcW w:w="5594" w:type="dxa"/>
            <w:tcBorders>
              <w:top w:val="nil"/>
              <w:left w:val="nil"/>
              <w:bottom w:val="nil"/>
              <w:right w:val="single" w:color="auto" w:sz="4" w:space="0"/>
            </w:tcBorders>
            <w:shd w:val="clear" w:color="000000" w:fill="FFFFFF"/>
            <w:vAlign w:val="center"/>
          </w:tcPr>
          <w:p>
            <w:pPr>
              <w:widowControl/>
              <w:jc w:val="left"/>
              <w:rPr>
                <w:rFonts w:ascii="宋体" w:hAnsi="宋体" w:cs="宋体"/>
                <w:kern w:val="0"/>
                <w:sz w:val="22"/>
              </w:rPr>
            </w:pPr>
            <w:r>
              <w:rPr>
                <w:rFonts w:hint="eastAsia" w:ascii="宋体" w:hAnsi="宋体" w:cs="宋体"/>
                <w:kern w:val="0"/>
                <w:sz w:val="22"/>
              </w:rPr>
              <w:t>地址：内蒙古锡林郭勒盟正蓝旗上都镇</w:t>
            </w:r>
          </w:p>
        </w:tc>
      </w:tr>
      <w:tr>
        <w:tblPrEx>
          <w:tblCellMar>
            <w:top w:w="0" w:type="dxa"/>
            <w:left w:w="108" w:type="dxa"/>
            <w:bottom w:w="0" w:type="dxa"/>
            <w:right w:w="108" w:type="dxa"/>
          </w:tblCellMar>
        </w:tblPrEx>
        <w:trPr>
          <w:trHeight w:val="270" w:hRule="atLeast"/>
        </w:trPr>
        <w:tc>
          <w:tcPr>
            <w:tcW w:w="1137" w:type="dxa"/>
            <w:vMerge w:val="continue"/>
            <w:tcBorders>
              <w:top w:val="nil"/>
              <w:left w:val="single" w:color="auto" w:sz="4" w:space="0"/>
              <w:bottom w:val="single" w:color="auto" w:sz="4" w:space="0"/>
              <w:right w:val="single" w:color="auto" w:sz="4" w:space="0"/>
            </w:tcBorders>
            <w:vAlign w:val="center"/>
          </w:tcPr>
          <w:p>
            <w:pPr>
              <w:widowControl/>
              <w:jc w:val="left"/>
              <w:rPr>
                <w:rFonts w:cs="宋体"/>
                <w:kern w:val="0"/>
                <w:sz w:val="22"/>
              </w:rPr>
            </w:pPr>
          </w:p>
        </w:tc>
        <w:tc>
          <w:tcPr>
            <w:tcW w:w="2128"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kern w:val="0"/>
                <w:sz w:val="22"/>
              </w:rPr>
            </w:pPr>
          </w:p>
        </w:tc>
        <w:tc>
          <w:tcPr>
            <w:tcW w:w="5594" w:type="dxa"/>
            <w:tcBorders>
              <w:top w:val="nil"/>
              <w:left w:val="nil"/>
              <w:bottom w:val="nil"/>
              <w:right w:val="single" w:color="auto" w:sz="4" w:space="0"/>
            </w:tcBorders>
            <w:shd w:val="clear" w:color="000000" w:fill="FFFFFF"/>
            <w:vAlign w:val="center"/>
          </w:tcPr>
          <w:p>
            <w:pPr>
              <w:widowControl/>
              <w:jc w:val="left"/>
              <w:rPr>
                <w:rFonts w:ascii="宋体" w:hAnsi="宋体" w:cs="宋体"/>
                <w:kern w:val="0"/>
                <w:sz w:val="22"/>
              </w:rPr>
            </w:pPr>
            <w:r>
              <w:rPr>
                <w:rFonts w:hint="eastAsia" w:ascii="宋体" w:hAnsi="宋体" w:cs="宋体"/>
                <w:kern w:val="0"/>
                <w:sz w:val="22"/>
              </w:rPr>
              <w:t>联 系 人：</w:t>
            </w:r>
          </w:p>
        </w:tc>
      </w:tr>
      <w:tr>
        <w:tblPrEx>
          <w:tblCellMar>
            <w:top w:w="0" w:type="dxa"/>
            <w:left w:w="108" w:type="dxa"/>
            <w:bottom w:w="0" w:type="dxa"/>
            <w:right w:w="108" w:type="dxa"/>
          </w:tblCellMar>
        </w:tblPrEx>
        <w:trPr>
          <w:trHeight w:val="270" w:hRule="atLeast"/>
        </w:trPr>
        <w:tc>
          <w:tcPr>
            <w:tcW w:w="1137" w:type="dxa"/>
            <w:vMerge w:val="continue"/>
            <w:tcBorders>
              <w:top w:val="nil"/>
              <w:left w:val="single" w:color="auto" w:sz="4" w:space="0"/>
              <w:bottom w:val="single" w:color="auto" w:sz="4" w:space="0"/>
              <w:right w:val="single" w:color="auto" w:sz="4" w:space="0"/>
            </w:tcBorders>
            <w:vAlign w:val="center"/>
          </w:tcPr>
          <w:p>
            <w:pPr>
              <w:widowControl/>
              <w:jc w:val="left"/>
              <w:rPr>
                <w:rFonts w:cs="宋体"/>
                <w:kern w:val="0"/>
                <w:sz w:val="22"/>
              </w:rPr>
            </w:pPr>
          </w:p>
        </w:tc>
        <w:tc>
          <w:tcPr>
            <w:tcW w:w="2128"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kern w:val="0"/>
                <w:sz w:val="22"/>
              </w:rPr>
            </w:pPr>
          </w:p>
        </w:tc>
        <w:tc>
          <w:tcPr>
            <w:tcW w:w="5594" w:type="dxa"/>
            <w:tcBorders>
              <w:top w:val="nil"/>
              <w:left w:val="nil"/>
              <w:bottom w:val="nil"/>
              <w:right w:val="single" w:color="auto" w:sz="4" w:space="0"/>
            </w:tcBorders>
            <w:shd w:val="clear" w:color="000000" w:fill="FFFFFF"/>
            <w:vAlign w:val="center"/>
          </w:tcPr>
          <w:p>
            <w:pPr>
              <w:widowControl/>
              <w:jc w:val="left"/>
              <w:rPr>
                <w:rFonts w:ascii="宋体" w:hAnsi="宋体" w:cs="宋体"/>
                <w:kern w:val="0"/>
                <w:sz w:val="22"/>
              </w:rPr>
            </w:pPr>
            <w:r>
              <w:rPr>
                <w:rFonts w:hint="eastAsia" w:ascii="宋体" w:hAnsi="宋体" w:cs="宋体"/>
                <w:kern w:val="0"/>
                <w:sz w:val="22"/>
              </w:rPr>
              <w:t>联系方式：</w:t>
            </w:r>
          </w:p>
        </w:tc>
      </w:tr>
      <w:tr>
        <w:tblPrEx>
          <w:tblCellMar>
            <w:top w:w="0" w:type="dxa"/>
            <w:left w:w="108" w:type="dxa"/>
            <w:bottom w:w="0" w:type="dxa"/>
            <w:right w:w="108" w:type="dxa"/>
          </w:tblCellMar>
        </w:tblPrEx>
        <w:trPr>
          <w:trHeight w:val="270" w:hRule="atLeast"/>
        </w:trPr>
        <w:tc>
          <w:tcPr>
            <w:tcW w:w="1137" w:type="dxa"/>
            <w:vMerge w:val="continue"/>
            <w:tcBorders>
              <w:top w:val="nil"/>
              <w:left w:val="single" w:color="auto" w:sz="4" w:space="0"/>
              <w:bottom w:val="single" w:color="auto" w:sz="4" w:space="0"/>
              <w:right w:val="single" w:color="auto" w:sz="4" w:space="0"/>
            </w:tcBorders>
            <w:vAlign w:val="center"/>
          </w:tcPr>
          <w:p>
            <w:pPr>
              <w:widowControl/>
              <w:jc w:val="left"/>
              <w:rPr>
                <w:rFonts w:cs="宋体"/>
                <w:kern w:val="0"/>
                <w:sz w:val="22"/>
              </w:rPr>
            </w:pPr>
          </w:p>
        </w:tc>
        <w:tc>
          <w:tcPr>
            <w:tcW w:w="2128"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kern w:val="0"/>
                <w:sz w:val="22"/>
              </w:rPr>
            </w:pPr>
          </w:p>
        </w:tc>
        <w:tc>
          <w:tcPr>
            <w:tcW w:w="5594" w:type="dxa"/>
            <w:tcBorders>
              <w:top w:val="nil"/>
              <w:left w:val="nil"/>
              <w:bottom w:val="single" w:color="auto" w:sz="4" w:space="0"/>
              <w:right w:val="single" w:color="auto" w:sz="4" w:space="0"/>
            </w:tcBorders>
            <w:shd w:val="clear" w:color="000000" w:fill="FFFFFF"/>
            <w:vAlign w:val="center"/>
          </w:tcPr>
          <w:p>
            <w:pPr>
              <w:widowControl/>
              <w:jc w:val="left"/>
              <w:rPr>
                <w:rFonts w:ascii="宋体" w:hAnsi="宋体" w:cs="宋体"/>
                <w:kern w:val="0"/>
                <w:sz w:val="22"/>
              </w:rPr>
            </w:pPr>
            <w:r>
              <w:rPr>
                <w:rFonts w:hint="eastAsia" w:ascii="宋体" w:hAnsi="宋体" w:cs="宋体"/>
                <w:kern w:val="0"/>
                <w:sz w:val="22"/>
              </w:rPr>
              <w:t>电商询价：</w:t>
            </w:r>
          </w:p>
        </w:tc>
      </w:tr>
      <w:tr>
        <w:tblPrEx>
          <w:tblCellMar>
            <w:top w:w="0" w:type="dxa"/>
            <w:left w:w="108" w:type="dxa"/>
            <w:bottom w:w="0" w:type="dxa"/>
            <w:right w:w="108" w:type="dxa"/>
          </w:tblCellMar>
        </w:tblPrEx>
        <w:trPr>
          <w:trHeight w:val="800" w:hRule="atLeast"/>
        </w:trPr>
        <w:tc>
          <w:tcPr>
            <w:tcW w:w="1137" w:type="dxa"/>
            <w:tcBorders>
              <w:top w:val="nil"/>
              <w:left w:val="single" w:color="auto" w:sz="4" w:space="0"/>
              <w:bottom w:val="single" w:color="auto" w:sz="4" w:space="0"/>
              <w:right w:val="single" w:color="auto" w:sz="4" w:space="0"/>
            </w:tcBorders>
            <w:shd w:val="clear" w:color="000000" w:fill="FFFFFF"/>
            <w:vAlign w:val="center"/>
          </w:tcPr>
          <w:p>
            <w:pPr>
              <w:widowControl/>
              <w:jc w:val="center"/>
              <w:rPr>
                <w:rFonts w:cs="宋体"/>
                <w:kern w:val="0"/>
                <w:sz w:val="22"/>
              </w:rPr>
            </w:pPr>
            <w:r>
              <w:rPr>
                <w:rFonts w:cs="宋体"/>
                <w:kern w:val="0"/>
                <w:sz w:val="22"/>
              </w:rPr>
              <w:t>3</w:t>
            </w:r>
          </w:p>
        </w:tc>
        <w:tc>
          <w:tcPr>
            <w:tcW w:w="2128" w:type="dxa"/>
            <w:tcBorders>
              <w:top w:val="nil"/>
              <w:left w:val="nil"/>
              <w:bottom w:val="single" w:color="auto" w:sz="4" w:space="0"/>
              <w:right w:val="single" w:color="auto" w:sz="4" w:space="0"/>
            </w:tcBorders>
            <w:shd w:val="clear" w:color="000000" w:fill="FFFFFF"/>
            <w:vAlign w:val="center"/>
          </w:tcPr>
          <w:p>
            <w:pPr>
              <w:widowControl/>
              <w:jc w:val="left"/>
              <w:rPr>
                <w:rFonts w:ascii="宋体" w:hAnsi="宋体" w:cs="宋体"/>
                <w:b/>
                <w:bCs/>
                <w:kern w:val="0"/>
                <w:sz w:val="22"/>
              </w:rPr>
            </w:pPr>
            <w:r>
              <w:rPr>
                <w:rFonts w:hint="eastAsia" w:ascii="宋体" w:hAnsi="宋体" w:cs="宋体"/>
                <w:b/>
                <w:bCs/>
                <w:kern w:val="0"/>
                <w:sz w:val="22"/>
              </w:rPr>
              <w:t>采购范围</w:t>
            </w:r>
          </w:p>
        </w:tc>
        <w:tc>
          <w:tcPr>
            <w:tcW w:w="5594" w:type="dxa"/>
            <w:tcBorders>
              <w:top w:val="nil"/>
              <w:left w:val="nil"/>
              <w:bottom w:val="single" w:color="auto" w:sz="4" w:space="0"/>
              <w:right w:val="single" w:color="auto" w:sz="4" w:space="0"/>
            </w:tcBorders>
            <w:shd w:val="clear" w:color="000000" w:fill="FFFFFF"/>
            <w:vAlign w:val="center"/>
          </w:tcPr>
          <w:p>
            <w:pPr>
              <w:widowControl/>
              <w:jc w:val="left"/>
              <w:rPr>
                <w:rFonts w:ascii="宋体" w:hAnsi="宋体" w:cs="宋体"/>
                <w:b/>
                <w:bCs/>
                <w:kern w:val="0"/>
                <w:sz w:val="22"/>
              </w:rPr>
            </w:pPr>
            <w:r>
              <w:rPr>
                <w:rFonts w:hint="eastAsia" w:ascii="宋体" w:hAnsi="宋体" w:cs="宋体"/>
                <w:b/>
                <w:bCs/>
                <w:kern w:val="0"/>
                <w:sz w:val="22"/>
              </w:rPr>
              <w:t>土建检修材料</w:t>
            </w:r>
          </w:p>
        </w:tc>
      </w:tr>
      <w:tr>
        <w:tblPrEx>
          <w:tblCellMar>
            <w:top w:w="0" w:type="dxa"/>
            <w:left w:w="108" w:type="dxa"/>
            <w:bottom w:w="0" w:type="dxa"/>
            <w:right w:w="108" w:type="dxa"/>
          </w:tblCellMar>
        </w:tblPrEx>
        <w:trPr>
          <w:trHeight w:val="451" w:hRule="atLeast"/>
        </w:trPr>
        <w:tc>
          <w:tcPr>
            <w:tcW w:w="1137" w:type="dxa"/>
            <w:tcBorders>
              <w:top w:val="nil"/>
              <w:left w:val="single" w:color="auto" w:sz="4" w:space="0"/>
              <w:bottom w:val="single" w:color="auto" w:sz="4" w:space="0"/>
              <w:right w:val="single" w:color="auto" w:sz="4" w:space="0"/>
            </w:tcBorders>
            <w:shd w:val="clear" w:color="000000" w:fill="FFFFFF"/>
            <w:vAlign w:val="center"/>
          </w:tcPr>
          <w:p>
            <w:pPr>
              <w:widowControl/>
              <w:jc w:val="center"/>
              <w:rPr>
                <w:rFonts w:cs="宋体"/>
                <w:kern w:val="0"/>
                <w:sz w:val="22"/>
              </w:rPr>
            </w:pPr>
            <w:r>
              <w:rPr>
                <w:rFonts w:hint="eastAsia" w:cs="宋体"/>
                <w:kern w:val="0"/>
                <w:sz w:val="22"/>
              </w:rPr>
              <w:t>4</w:t>
            </w:r>
          </w:p>
        </w:tc>
        <w:tc>
          <w:tcPr>
            <w:tcW w:w="2128" w:type="dxa"/>
            <w:tcBorders>
              <w:top w:val="nil"/>
              <w:left w:val="nil"/>
              <w:bottom w:val="single" w:color="auto" w:sz="4" w:space="0"/>
              <w:right w:val="single" w:color="auto" w:sz="4" w:space="0"/>
            </w:tcBorders>
            <w:shd w:val="clear" w:color="000000" w:fill="FFFFFF"/>
            <w:vAlign w:val="center"/>
          </w:tcPr>
          <w:p>
            <w:pPr>
              <w:widowControl/>
              <w:jc w:val="left"/>
              <w:rPr>
                <w:rFonts w:ascii="宋体" w:hAnsi="宋体" w:cs="宋体"/>
                <w:b/>
                <w:bCs/>
                <w:kern w:val="0"/>
                <w:sz w:val="22"/>
              </w:rPr>
            </w:pPr>
            <w:r>
              <w:rPr>
                <w:rFonts w:hint="eastAsia" w:ascii="宋体" w:hAnsi="宋体" w:cs="宋体"/>
                <w:b/>
                <w:bCs/>
                <w:kern w:val="0"/>
                <w:sz w:val="22"/>
              </w:rPr>
              <w:t>服务期限</w:t>
            </w:r>
          </w:p>
        </w:tc>
        <w:tc>
          <w:tcPr>
            <w:tcW w:w="5594" w:type="dxa"/>
            <w:tcBorders>
              <w:top w:val="nil"/>
              <w:left w:val="nil"/>
              <w:bottom w:val="single" w:color="auto" w:sz="4" w:space="0"/>
              <w:right w:val="single" w:color="auto" w:sz="4" w:space="0"/>
            </w:tcBorders>
            <w:shd w:val="clear" w:color="000000" w:fill="FFFFFF"/>
            <w:vAlign w:val="center"/>
          </w:tcPr>
          <w:p>
            <w:pPr>
              <w:widowControl/>
              <w:jc w:val="left"/>
              <w:rPr>
                <w:rFonts w:ascii="宋体" w:hAnsi="宋体" w:cs="宋体"/>
                <w:b/>
                <w:bCs/>
                <w:kern w:val="0"/>
                <w:sz w:val="22"/>
              </w:rPr>
            </w:pPr>
            <w:r>
              <w:rPr>
                <w:rFonts w:hint="eastAsia" w:ascii="宋体" w:hAnsi="宋体" w:cs="宋体"/>
                <w:b/>
                <w:bCs/>
                <w:kern w:val="0"/>
                <w:sz w:val="22"/>
              </w:rPr>
              <w:t>所订购物资到货初步验收合格之日起1年</w:t>
            </w:r>
          </w:p>
        </w:tc>
      </w:tr>
      <w:tr>
        <w:tblPrEx>
          <w:tblCellMar>
            <w:top w:w="0" w:type="dxa"/>
            <w:left w:w="108" w:type="dxa"/>
            <w:bottom w:w="0" w:type="dxa"/>
            <w:right w:w="108" w:type="dxa"/>
          </w:tblCellMar>
        </w:tblPrEx>
        <w:trPr>
          <w:trHeight w:val="1357" w:hRule="atLeast"/>
        </w:trPr>
        <w:tc>
          <w:tcPr>
            <w:tcW w:w="1137" w:type="dxa"/>
            <w:tcBorders>
              <w:top w:val="nil"/>
              <w:left w:val="single" w:color="auto" w:sz="4" w:space="0"/>
              <w:bottom w:val="nil"/>
              <w:right w:val="single" w:color="auto" w:sz="4" w:space="0"/>
            </w:tcBorders>
            <w:shd w:val="clear" w:color="000000" w:fill="FFFFFF"/>
            <w:vAlign w:val="center"/>
          </w:tcPr>
          <w:p>
            <w:pPr>
              <w:widowControl/>
              <w:jc w:val="center"/>
              <w:rPr>
                <w:rFonts w:cs="宋体"/>
                <w:kern w:val="0"/>
                <w:sz w:val="22"/>
              </w:rPr>
            </w:pPr>
            <w:r>
              <w:rPr>
                <w:rFonts w:cs="宋体"/>
                <w:kern w:val="0"/>
                <w:sz w:val="22"/>
              </w:rPr>
              <w:t>5</w:t>
            </w:r>
          </w:p>
        </w:tc>
        <w:tc>
          <w:tcPr>
            <w:tcW w:w="2128" w:type="dxa"/>
            <w:tcBorders>
              <w:top w:val="nil"/>
              <w:left w:val="nil"/>
              <w:bottom w:val="single" w:color="auto" w:sz="4" w:space="0"/>
              <w:right w:val="single" w:color="auto" w:sz="4" w:space="0"/>
            </w:tcBorders>
            <w:shd w:val="clear" w:color="000000" w:fill="FFFFFF"/>
            <w:vAlign w:val="center"/>
          </w:tcPr>
          <w:p>
            <w:pPr>
              <w:widowControl/>
              <w:jc w:val="left"/>
              <w:rPr>
                <w:rFonts w:ascii="宋体" w:hAnsi="宋体" w:cs="宋体"/>
                <w:color w:val="0070C0"/>
                <w:kern w:val="0"/>
                <w:sz w:val="22"/>
              </w:rPr>
            </w:pPr>
            <w:r>
              <w:rPr>
                <w:rFonts w:hint="eastAsia" w:ascii="宋体" w:hAnsi="宋体" w:cs="宋体"/>
                <w:color w:val="0070C0"/>
                <w:kern w:val="0"/>
                <w:sz w:val="22"/>
              </w:rPr>
              <w:t>询价程序</w:t>
            </w:r>
          </w:p>
        </w:tc>
        <w:tc>
          <w:tcPr>
            <w:tcW w:w="5594" w:type="dxa"/>
            <w:tcBorders>
              <w:top w:val="nil"/>
              <w:left w:val="nil"/>
              <w:bottom w:val="single" w:color="auto" w:sz="4" w:space="0"/>
              <w:right w:val="single" w:color="auto" w:sz="4" w:space="0"/>
            </w:tcBorders>
            <w:shd w:val="clear" w:color="000000" w:fill="FFFFFF"/>
            <w:vAlign w:val="center"/>
          </w:tcPr>
          <w:p>
            <w:pPr>
              <w:widowControl/>
              <w:jc w:val="left"/>
              <w:rPr>
                <w:rFonts w:ascii="宋体" w:hAnsi="宋体" w:cs="宋体"/>
                <w:kern w:val="0"/>
                <w:sz w:val="22"/>
              </w:rPr>
            </w:pPr>
            <w:r>
              <w:rPr>
                <w:rFonts w:hint="eastAsia" w:ascii="宋体" w:hAnsi="宋体" w:cs="宋体"/>
                <w:kern w:val="0"/>
                <w:sz w:val="22"/>
              </w:rPr>
              <w:t>(1) 采购方制定询价文件；</w:t>
            </w:r>
          </w:p>
          <w:p>
            <w:pPr>
              <w:widowControl/>
              <w:jc w:val="left"/>
              <w:rPr>
                <w:rFonts w:ascii="宋体" w:hAnsi="宋体" w:cs="宋体"/>
                <w:color w:val="7030A0"/>
                <w:kern w:val="0"/>
                <w:sz w:val="22"/>
              </w:rPr>
            </w:pPr>
            <w:r>
              <w:rPr>
                <w:rFonts w:hint="eastAsia" w:ascii="宋体" w:hAnsi="宋体" w:cs="宋体"/>
                <w:color w:val="7030A0"/>
                <w:kern w:val="0"/>
                <w:sz w:val="22"/>
              </w:rPr>
              <w:t>(2) 采购方发起电商平台公开询价；</w:t>
            </w:r>
          </w:p>
          <w:p>
            <w:pPr>
              <w:widowControl/>
              <w:jc w:val="left"/>
              <w:rPr>
                <w:rFonts w:ascii="宋体" w:hAnsi="宋体" w:cs="宋体"/>
                <w:color w:val="7030A0"/>
                <w:kern w:val="0"/>
                <w:sz w:val="22"/>
              </w:rPr>
            </w:pPr>
            <w:r>
              <w:rPr>
                <w:rFonts w:hint="eastAsia" w:ascii="宋体" w:hAnsi="宋体" w:cs="宋体"/>
                <w:color w:val="7030A0"/>
                <w:kern w:val="0"/>
                <w:sz w:val="22"/>
              </w:rPr>
              <w:t>(3) 供应商严格按照询价文件要求编制并按时在线递交响应文件（含符合要求的资质、资格和报价清单等）；</w:t>
            </w:r>
          </w:p>
          <w:p>
            <w:pPr>
              <w:widowControl/>
              <w:jc w:val="left"/>
              <w:rPr>
                <w:rFonts w:ascii="宋体" w:hAnsi="宋体" w:cs="宋体"/>
                <w:color w:val="7030A0"/>
                <w:kern w:val="0"/>
                <w:sz w:val="22"/>
              </w:rPr>
            </w:pPr>
            <w:r>
              <w:rPr>
                <w:rFonts w:hint="eastAsia" w:ascii="宋体" w:hAnsi="宋体" w:cs="宋体"/>
                <w:color w:val="7030A0"/>
                <w:kern w:val="0"/>
                <w:sz w:val="22"/>
              </w:rPr>
              <w:t>(4)采购方组织评审；</w:t>
            </w:r>
          </w:p>
          <w:p>
            <w:pPr>
              <w:widowControl/>
              <w:jc w:val="left"/>
              <w:rPr>
                <w:rFonts w:ascii="宋体" w:hAnsi="宋体" w:cs="宋体"/>
                <w:kern w:val="0"/>
                <w:sz w:val="22"/>
              </w:rPr>
            </w:pPr>
            <w:r>
              <w:rPr>
                <w:rFonts w:hint="eastAsia" w:ascii="宋体" w:hAnsi="宋体" w:cs="宋体"/>
                <w:kern w:val="0"/>
                <w:sz w:val="22"/>
              </w:rPr>
              <w:t>(</w:t>
            </w:r>
            <w:r>
              <w:rPr>
                <w:rFonts w:ascii="宋体" w:hAnsi="宋体" w:cs="宋体"/>
                <w:kern w:val="0"/>
                <w:sz w:val="22"/>
              </w:rPr>
              <w:t>5</w:t>
            </w:r>
            <w:r>
              <w:rPr>
                <w:rFonts w:hint="eastAsia" w:ascii="宋体" w:hAnsi="宋体" w:cs="宋体"/>
                <w:kern w:val="0"/>
                <w:sz w:val="22"/>
              </w:rPr>
              <w:t>) 采购方确定成交候选人及成交人。</w:t>
            </w:r>
          </w:p>
        </w:tc>
      </w:tr>
      <w:tr>
        <w:tblPrEx>
          <w:tblCellMar>
            <w:top w:w="0" w:type="dxa"/>
            <w:left w:w="108" w:type="dxa"/>
            <w:bottom w:w="0" w:type="dxa"/>
            <w:right w:w="108" w:type="dxa"/>
          </w:tblCellMar>
        </w:tblPrEx>
        <w:trPr>
          <w:trHeight w:val="1379" w:hRule="atLeast"/>
        </w:trPr>
        <w:tc>
          <w:tcPr>
            <w:tcW w:w="1137" w:type="dxa"/>
            <w:tcBorders>
              <w:top w:val="single" w:color="auto" w:sz="4" w:space="0"/>
              <w:left w:val="single" w:color="auto" w:sz="4" w:space="0"/>
              <w:bottom w:val="nil"/>
              <w:right w:val="single" w:color="auto" w:sz="4" w:space="0"/>
            </w:tcBorders>
            <w:shd w:val="clear" w:color="000000" w:fill="FFFFFF"/>
            <w:vAlign w:val="center"/>
          </w:tcPr>
          <w:p>
            <w:pPr>
              <w:widowControl/>
              <w:jc w:val="center"/>
              <w:rPr>
                <w:rFonts w:cs="宋体"/>
                <w:kern w:val="0"/>
                <w:sz w:val="22"/>
              </w:rPr>
            </w:pPr>
            <w:r>
              <w:rPr>
                <w:rFonts w:cs="宋体"/>
                <w:kern w:val="0"/>
                <w:sz w:val="22"/>
              </w:rPr>
              <w:t>6</w:t>
            </w:r>
          </w:p>
        </w:tc>
        <w:tc>
          <w:tcPr>
            <w:tcW w:w="2128" w:type="dxa"/>
            <w:tcBorders>
              <w:top w:val="nil"/>
              <w:left w:val="nil"/>
              <w:bottom w:val="single" w:color="auto" w:sz="4" w:space="0"/>
              <w:right w:val="single" w:color="auto" w:sz="4" w:space="0"/>
            </w:tcBorders>
            <w:shd w:val="clear" w:color="000000" w:fill="FFFFFF"/>
            <w:vAlign w:val="center"/>
          </w:tcPr>
          <w:p>
            <w:pPr>
              <w:widowControl/>
              <w:jc w:val="left"/>
              <w:rPr>
                <w:rFonts w:ascii="宋体" w:hAnsi="宋体" w:cs="宋体"/>
                <w:color w:val="0070C0"/>
                <w:kern w:val="0"/>
                <w:sz w:val="22"/>
              </w:rPr>
            </w:pPr>
            <w:r>
              <w:rPr>
                <w:rFonts w:hint="eastAsia" w:ascii="宋体" w:hAnsi="宋体" w:cs="宋体"/>
                <w:color w:val="0070C0"/>
                <w:kern w:val="0"/>
                <w:sz w:val="22"/>
              </w:rPr>
              <w:t>报价要求</w:t>
            </w:r>
          </w:p>
        </w:tc>
        <w:tc>
          <w:tcPr>
            <w:tcW w:w="5594" w:type="dxa"/>
            <w:tcBorders>
              <w:top w:val="nil"/>
              <w:left w:val="nil"/>
              <w:bottom w:val="single" w:color="auto" w:sz="4" w:space="0"/>
              <w:right w:val="single" w:color="auto" w:sz="4" w:space="0"/>
            </w:tcBorders>
            <w:shd w:val="clear" w:color="000000" w:fill="FFFFFF"/>
            <w:vAlign w:val="center"/>
          </w:tcPr>
          <w:p>
            <w:pPr>
              <w:widowControl/>
              <w:jc w:val="left"/>
              <w:rPr>
                <w:rFonts w:ascii="宋体" w:hAnsi="宋体" w:cs="宋体"/>
                <w:kern w:val="0"/>
                <w:sz w:val="22"/>
              </w:rPr>
            </w:pPr>
            <w:r>
              <w:rPr>
                <w:rFonts w:hint="eastAsia" w:ascii="宋体" w:hAnsi="宋体" w:cs="宋体"/>
                <w:kern w:val="0"/>
                <w:sz w:val="22"/>
              </w:rPr>
              <w:t>(1) 报价方必须</w:t>
            </w:r>
            <w:r>
              <w:rPr>
                <w:rFonts w:ascii="宋体" w:hAnsi="宋体" w:cs="宋体"/>
                <w:kern w:val="0"/>
                <w:sz w:val="22"/>
              </w:rPr>
              <w:t>按照</w:t>
            </w:r>
            <w:r>
              <w:rPr>
                <w:rFonts w:hint="eastAsia" w:ascii="宋体" w:hAnsi="宋体" w:cs="宋体"/>
                <w:kern w:val="0"/>
                <w:sz w:val="22"/>
              </w:rPr>
              <w:t>清单</w:t>
            </w:r>
            <w:r>
              <w:rPr>
                <w:rFonts w:ascii="宋体" w:hAnsi="宋体" w:cs="宋体"/>
                <w:kern w:val="0"/>
                <w:sz w:val="22"/>
              </w:rPr>
              <w:t>分项</w:t>
            </w:r>
            <w:r>
              <w:rPr>
                <w:rFonts w:hint="eastAsia" w:ascii="宋体" w:hAnsi="宋体" w:cs="宋体"/>
                <w:kern w:val="0"/>
                <w:sz w:val="22"/>
              </w:rPr>
              <w:t>报价；</w:t>
            </w:r>
          </w:p>
          <w:p>
            <w:pPr>
              <w:widowControl/>
              <w:jc w:val="left"/>
              <w:rPr>
                <w:rFonts w:ascii="宋体" w:hAnsi="宋体" w:cs="宋体"/>
                <w:kern w:val="0"/>
                <w:sz w:val="22"/>
              </w:rPr>
            </w:pPr>
            <w:r>
              <w:rPr>
                <w:rFonts w:hint="eastAsia" w:ascii="宋体" w:hAnsi="宋体" w:cs="宋体"/>
                <w:kern w:val="0"/>
                <w:sz w:val="22"/>
              </w:rPr>
              <w:t>(2) 报价</w:t>
            </w:r>
            <w:r>
              <w:rPr>
                <w:rFonts w:ascii="宋体" w:hAnsi="宋体" w:cs="宋体"/>
                <w:kern w:val="0"/>
                <w:sz w:val="22"/>
              </w:rPr>
              <w:t>必须含运杂费</w:t>
            </w:r>
            <w:r>
              <w:rPr>
                <w:rFonts w:hint="eastAsia" w:ascii="宋体" w:hAnsi="宋体" w:cs="宋体"/>
                <w:kern w:val="0"/>
                <w:sz w:val="22"/>
              </w:rPr>
              <w:t>，并注明有效期</w:t>
            </w:r>
            <w:r>
              <w:rPr>
                <w:rFonts w:ascii="宋体" w:hAnsi="宋体" w:cs="宋体"/>
                <w:kern w:val="0"/>
                <w:sz w:val="22"/>
              </w:rPr>
              <w:t>；</w:t>
            </w:r>
          </w:p>
          <w:p>
            <w:pPr>
              <w:widowControl/>
              <w:jc w:val="left"/>
              <w:rPr>
                <w:rFonts w:ascii="宋体" w:hAnsi="宋体" w:cs="宋体"/>
                <w:kern w:val="0"/>
                <w:sz w:val="22"/>
              </w:rPr>
            </w:pPr>
            <w:r>
              <w:rPr>
                <w:rFonts w:hint="eastAsia" w:ascii="宋体" w:hAnsi="宋体" w:cs="宋体"/>
                <w:kern w:val="0"/>
                <w:sz w:val="22"/>
              </w:rPr>
              <w:t>(3)缺项、漏项或无</w:t>
            </w:r>
            <w:r>
              <w:rPr>
                <w:rFonts w:ascii="宋体" w:hAnsi="宋体" w:cs="宋体"/>
                <w:kern w:val="0"/>
                <w:sz w:val="22"/>
              </w:rPr>
              <w:t>分项报价视同报价无效</w:t>
            </w:r>
            <w:r>
              <w:rPr>
                <w:rFonts w:hint="eastAsia" w:ascii="宋体" w:hAnsi="宋体" w:cs="宋体"/>
                <w:kern w:val="0"/>
                <w:sz w:val="22"/>
              </w:rPr>
              <w:t>；</w:t>
            </w:r>
          </w:p>
          <w:p>
            <w:pPr>
              <w:widowControl/>
              <w:jc w:val="left"/>
              <w:rPr>
                <w:rFonts w:ascii="宋体" w:hAnsi="宋体" w:cs="宋体"/>
                <w:kern w:val="0"/>
                <w:sz w:val="22"/>
              </w:rPr>
            </w:pPr>
            <w:r>
              <w:rPr>
                <w:rFonts w:hint="eastAsia" w:ascii="宋体" w:hAnsi="宋体" w:cs="宋体"/>
                <w:kern w:val="0"/>
                <w:sz w:val="22"/>
              </w:rPr>
              <w:t>(</w:t>
            </w:r>
            <w:r>
              <w:rPr>
                <w:rFonts w:ascii="宋体" w:hAnsi="宋体" w:cs="宋体"/>
                <w:kern w:val="0"/>
                <w:sz w:val="22"/>
              </w:rPr>
              <w:t>4</w:t>
            </w:r>
            <w:r>
              <w:rPr>
                <w:rFonts w:hint="eastAsia" w:ascii="宋体" w:hAnsi="宋体" w:cs="宋体"/>
                <w:kern w:val="0"/>
                <w:sz w:val="22"/>
              </w:rPr>
              <w:t>) 分项</w:t>
            </w:r>
            <w:r>
              <w:rPr>
                <w:rFonts w:ascii="宋体" w:hAnsi="宋体" w:cs="宋体"/>
                <w:kern w:val="0"/>
                <w:sz w:val="22"/>
              </w:rPr>
              <w:t>报价与总价不一致</w:t>
            </w:r>
            <w:r>
              <w:rPr>
                <w:rFonts w:hint="eastAsia" w:ascii="宋体" w:hAnsi="宋体" w:cs="宋体"/>
                <w:kern w:val="0"/>
                <w:sz w:val="22"/>
              </w:rPr>
              <w:t>视为报价</w:t>
            </w:r>
            <w:r>
              <w:rPr>
                <w:rFonts w:ascii="宋体" w:hAnsi="宋体" w:cs="宋体"/>
                <w:kern w:val="0"/>
                <w:sz w:val="22"/>
              </w:rPr>
              <w:t>无效</w:t>
            </w:r>
            <w:r>
              <w:rPr>
                <w:rFonts w:hint="eastAsia" w:ascii="宋体" w:hAnsi="宋体" w:cs="宋体"/>
                <w:kern w:val="0"/>
                <w:sz w:val="22"/>
              </w:rPr>
              <w:t>。</w:t>
            </w:r>
          </w:p>
        </w:tc>
      </w:tr>
      <w:tr>
        <w:tblPrEx>
          <w:tblCellMar>
            <w:top w:w="0" w:type="dxa"/>
            <w:left w:w="108" w:type="dxa"/>
            <w:bottom w:w="0" w:type="dxa"/>
            <w:right w:w="108" w:type="dxa"/>
          </w:tblCellMar>
        </w:tblPrEx>
        <w:trPr>
          <w:trHeight w:val="398" w:hRule="atLeast"/>
        </w:trPr>
        <w:tc>
          <w:tcPr>
            <w:tcW w:w="1137" w:type="dxa"/>
            <w:vMerge w:val="restart"/>
            <w:tcBorders>
              <w:top w:val="single" w:color="auto" w:sz="4" w:space="0"/>
              <w:left w:val="single" w:color="auto" w:sz="4" w:space="0"/>
              <w:bottom w:val="nil"/>
              <w:right w:val="single" w:color="auto" w:sz="4" w:space="0"/>
            </w:tcBorders>
            <w:shd w:val="clear" w:color="000000" w:fill="FFFFFF"/>
            <w:vAlign w:val="center"/>
          </w:tcPr>
          <w:p>
            <w:pPr>
              <w:widowControl/>
              <w:jc w:val="center"/>
              <w:rPr>
                <w:rFonts w:cs="宋体"/>
                <w:kern w:val="0"/>
                <w:sz w:val="22"/>
              </w:rPr>
            </w:pPr>
            <w:r>
              <w:rPr>
                <w:rFonts w:cs="宋体"/>
                <w:kern w:val="0"/>
                <w:sz w:val="22"/>
              </w:rPr>
              <w:t>7</w:t>
            </w:r>
          </w:p>
        </w:tc>
        <w:tc>
          <w:tcPr>
            <w:tcW w:w="2128" w:type="dxa"/>
            <w:tcBorders>
              <w:top w:val="nil"/>
              <w:left w:val="nil"/>
              <w:bottom w:val="single" w:color="auto" w:sz="4" w:space="0"/>
              <w:right w:val="single" w:color="auto" w:sz="4" w:space="0"/>
            </w:tcBorders>
            <w:shd w:val="clear" w:color="000000" w:fill="FFFFFF"/>
            <w:vAlign w:val="center"/>
          </w:tcPr>
          <w:p>
            <w:pPr>
              <w:widowControl/>
              <w:jc w:val="left"/>
              <w:rPr>
                <w:rFonts w:ascii="宋体" w:hAnsi="宋体" w:cs="宋体"/>
                <w:kern w:val="0"/>
                <w:sz w:val="22"/>
              </w:rPr>
            </w:pPr>
            <w:r>
              <w:rPr>
                <w:rFonts w:hint="eastAsia" w:ascii="宋体" w:hAnsi="宋体" w:cs="宋体"/>
                <w:kern w:val="0"/>
                <w:sz w:val="22"/>
              </w:rPr>
              <w:t>电子报价文件递交截止时间</w:t>
            </w:r>
          </w:p>
        </w:tc>
        <w:tc>
          <w:tcPr>
            <w:tcW w:w="5594" w:type="dxa"/>
            <w:tcBorders>
              <w:top w:val="nil"/>
              <w:left w:val="nil"/>
              <w:bottom w:val="single" w:color="auto" w:sz="8" w:space="0"/>
              <w:right w:val="single" w:color="auto" w:sz="8" w:space="0"/>
            </w:tcBorders>
            <w:shd w:val="clear" w:color="000000" w:fill="FFFFFF"/>
            <w:vAlign w:val="center"/>
          </w:tcPr>
          <w:p>
            <w:pPr>
              <w:widowControl/>
              <w:jc w:val="left"/>
              <w:rPr>
                <w:rFonts w:cs="宋体"/>
                <w:kern w:val="0"/>
                <w:sz w:val="22"/>
              </w:rPr>
            </w:pPr>
            <w:r>
              <w:rPr>
                <w:rFonts w:hint="eastAsia" w:cs="宋体"/>
                <w:kern w:val="0"/>
                <w:sz w:val="22"/>
              </w:rPr>
              <w:t>报价截止时间前</w:t>
            </w:r>
          </w:p>
        </w:tc>
      </w:tr>
      <w:tr>
        <w:tblPrEx>
          <w:tblCellMar>
            <w:top w:w="0" w:type="dxa"/>
            <w:left w:w="108" w:type="dxa"/>
            <w:bottom w:w="0" w:type="dxa"/>
            <w:right w:w="108" w:type="dxa"/>
          </w:tblCellMar>
        </w:tblPrEx>
        <w:trPr>
          <w:trHeight w:val="570" w:hRule="atLeast"/>
        </w:trPr>
        <w:tc>
          <w:tcPr>
            <w:tcW w:w="1137"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cs="宋体"/>
                <w:kern w:val="0"/>
                <w:sz w:val="22"/>
              </w:rPr>
            </w:pPr>
          </w:p>
        </w:tc>
        <w:tc>
          <w:tcPr>
            <w:tcW w:w="2128" w:type="dxa"/>
            <w:tcBorders>
              <w:top w:val="nil"/>
              <w:left w:val="nil"/>
              <w:bottom w:val="single" w:color="auto" w:sz="4" w:space="0"/>
              <w:right w:val="single" w:color="auto" w:sz="4" w:space="0"/>
            </w:tcBorders>
            <w:shd w:val="clear" w:color="000000" w:fill="FFFFFF"/>
            <w:vAlign w:val="center"/>
          </w:tcPr>
          <w:p>
            <w:pPr>
              <w:widowControl/>
              <w:jc w:val="left"/>
              <w:rPr>
                <w:rFonts w:ascii="宋体" w:hAnsi="宋体" w:cs="宋体"/>
                <w:kern w:val="0"/>
                <w:sz w:val="22"/>
              </w:rPr>
            </w:pPr>
            <w:r>
              <w:rPr>
                <w:rFonts w:hint="eastAsia" w:ascii="宋体" w:hAnsi="宋体" w:cs="宋体"/>
                <w:kern w:val="0"/>
                <w:sz w:val="22"/>
              </w:rPr>
              <w:t>电子报价文件递交方式</w:t>
            </w:r>
          </w:p>
        </w:tc>
        <w:tc>
          <w:tcPr>
            <w:tcW w:w="5594" w:type="dxa"/>
            <w:tcBorders>
              <w:top w:val="nil"/>
              <w:left w:val="nil"/>
              <w:bottom w:val="single" w:color="auto" w:sz="4" w:space="0"/>
              <w:right w:val="single" w:color="auto" w:sz="8" w:space="0"/>
            </w:tcBorders>
            <w:shd w:val="clear" w:color="000000" w:fill="FFFFFF"/>
            <w:vAlign w:val="center"/>
          </w:tcPr>
          <w:p>
            <w:pPr>
              <w:widowControl/>
              <w:jc w:val="left"/>
              <w:rPr>
                <w:rFonts w:cs="宋体"/>
                <w:kern w:val="0"/>
                <w:sz w:val="22"/>
              </w:rPr>
            </w:pPr>
            <w:r>
              <w:rPr>
                <w:rFonts w:hint="eastAsia" w:ascii="宋体" w:hAnsi="宋体" w:cs="宋体"/>
                <w:kern w:val="0"/>
                <w:sz w:val="22"/>
              </w:rPr>
              <w:t>报价人通过中国华能集团公司电子商务平台在规定日期内</w:t>
            </w:r>
            <w:r>
              <w:rPr>
                <w:rFonts w:hint="eastAsia" w:ascii="宋体" w:hAnsi="宋体" w:cs="宋体"/>
                <w:color w:val="0070C0"/>
                <w:kern w:val="0"/>
                <w:sz w:val="22"/>
              </w:rPr>
              <w:t>进行报价并上传要求</w:t>
            </w:r>
            <w:r>
              <w:rPr>
                <w:rFonts w:ascii="宋体" w:hAnsi="宋体" w:cs="宋体"/>
                <w:color w:val="0070C0"/>
                <w:kern w:val="0"/>
                <w:sz w:val="22"/>
              </w:rPr>
              <w:t>的</w:t>
            </w:r>
            <w:r>
              <w:rPr>
                <w:rFonts w:hint="eastAsia" w:ascii="宋体" w:hAnsi="宋体" w:cs="宋体"/>
                <w:color w:val="0070C0"/>
                <w:kern w:val="0"/>
                <w:sz w:val="22"/>
              </w:rPr>
              <w:t>附件</w:t>
            </w:r>
            <w:r>
              <w:rPr>
                <w:rFonts w:hint="eastAsia" w:ascii="宋体" w:hAnsi="宋体" w:cs="宋体"/>
                <w:kern w:val="0"/>
                <w:sz w:val="22"/>
              </w:rPr>
              <w:t>。</w:t>
            </w:r>
          </w:p>
        </w:tc>
      </w:tr>
      <w:tr>
        <w:tblPrEx>
          <w:tblCellMar>
            <w:top w:w="0" w:type="dxa"/>
            <w:left w:w="108" w:type="dxa"/>
            <w:bottom w:w="0" w:type="dxa"/>
            <w:right w:w="108" w:type="dxa"/>
          </w:tblCellMar>
        </w:tblPrEx>
        <w:trPr>
          <w:trHeight w:val="765" w:hRule="atLeast"/>
        </w:trPr>
        <w:tc>
          <w:tcPr>
            <w:tcW w:w="1137" w:type="dxa"/>
            <w:tcBorders>
              <w:top w:val="single" w:color="auto" w:sz="4" w:space="0"/>
              <w:left w:val="single" w:color="auto" w:sz="4" w:space="0"/>
              <w:right w:val="single" w:color="auto" w:sz="4" w:space="0"/>
            </w:tcBorders>
            <w:shd w:val="clear" w:color="000000" w:fill="FFFFFF"/>
            <w:vAlign w:val="center"/>
          </w:tcPr>
          <w:p>
            <w:pPr>
              <w:widowControl/>
              <w:jc w:val="center"/>
              <w:rPr>
                <w:rFonts w:cs="宋体"/>
                <w:kern w:val="0"/>
                <w:sz w:val="22"/>
              </w:rPr>
            </w:pPr>
            <w:r>
              <w:rPr>
                <w:rFonts w:hint="eastAsia" w:cs="宋体"/>
                <w:kern w:val="0"/>
                <w:sz w:val="22"/>
              </w:rPr>
              <w:t>8</w:t>
            </w:r>
          </w:p>
        </w:tc>
        <w:tc>
          <w:tcPr>
            <w:tcW w:w="2128" w:type="dxa"/>
            <w:tcBorders>
              <w:top w:val="single" w:color="auto" w:sz="4" w:space="0"/>
              <w:left w:val="nil"/>
              <w:right w:val="single" w:color="auto" w:sz="4" w:space="0"/>
            </w:tcBorders>
            <w:shd w:val="clear" w:color="000000" w:fill="FFFFFF"/>
            <w:vAlign w:val="center"/>
          </w:tcPr>
          <w:p>
            <w:pPr>
              <w:widowControl/>
              <w:jc w:val="left"/>
              <w:rPr>
                <w:rFonts w:ascii="宋体" w:hAnsi="宋体" w:cs="宋体"/>
                <w:kern w:val="0"/>
                <w:sz w:val="22"/>
              </w:rPr>
            </w:pPr>
            <w:r>
              <w:rPr>
                <w:rFonts w:hint="eastAsia" w:ascii="宋体" w:hAnsi="宋体" w:cs="宋体"/>
                <w:kern w:val="0"/>
                <w:sz w:val="22"/>
              </w:rPr>
              <w:t>付款</w:t>
            </w:r>
            <w:r>
              <w:rPr>
                <w:rFonts w:ascii="宋体" w:hAnsi="宋体" w:cs="宋体"/>
                <w:kern w:val="0"/>
                <w:sz w:val="22"/>
              </w:rPr>
              <w:t>方式</w:t>
            </w:r>
          </w:p>
        </w:tc>
        <w:tc>
          <w:tcPr>
            <w:tcW w:w="5594" w:type="dxa"/>
            <w:tcBorders>
              <w:top w:val="single" w:color="auto" w:sz="4" w:space="0"/>
              <w:left w:val="nil"/>
              <w:right w:val="single" w:color="auto" w:sz="4" w:space="0"/>
            </w:tcBorders>
            <w:shd w:val="clear" w:color="000000" w:fill="FFFFFF"/>
            <w:vAlign w:val="center"/>
          </w:tcPr>
          <w:p>
            <w:pPr>
              <w:widowControl/>
              <w:rPr>
                <w:rFonts w:ascii="宋体" w:hAnsi="宋体" w:cs="宋体"/>
                <w:color w:val="0070C0"/>
                <w:kern w:val="0"/>
                <w:sz w:val="22"/>
              </w:rPr>
            </w:pPr>
            <w:r>
              <w:rPr>
                <w:rFonts w:hint="eastAsia" w:asciiTheme="minorEastAsia" w:hAnsiTheme="minorEastAsia"/>
                <w:color w:val="000000" w:themeColor="text1"/>
                <w:sz w:val="24"/>
                <w14:textFill>
                  <w14:solidFill>
                    <w14:schemeClr w14:val="tx1"/>
                  </w14:solidFill>
                </w14:textFill>
              </w:rPr>
              <w:t>无法接受后付款方式的供应商不得随意参与报价，否则将纳入考评。</w:t>
            </w:r>
          </w:p>
        </w:tc>
      </w:tr>
      <w:tr>
        <w:tblPrEx>
          <w:tblCellMar>
            <w:top w:w="0" w:type="dxa"/>
            <w:left w:w="108" w:type="dxa"/>
            <w:bottom w:w="0" w:type="dxa"/>
            <w:right w:w="108" w:type="dxa"/>
          </w:tblCellMar>
        </w:tblPrEx>
        <w:trPr>
          <w:trHeight w:val="765" w:hRule="atLeast"/>
        </w:trPr>
        <w:tc>
          <w:tcPr>
            <w:tcW w:w="1137" w:type="dxa"/>
            <w:tcBorders>
              <w:top w:val="single" w:color="auto" w:sz="4" w:space="0"/>
              <w:left w:val="single" w:color="auto" w:sz="4" w:space="0"/>
              <w:right w:val="single" w:color="auto" w:sz="4" w:space="0"/>
            </w:tcBorders>
            <w:shd w:val="clear" w:color="000000" w:fill="FFFFFF"/>
            <w:vAlign w:val="center"/>
          </w:tcPr>
          <w:p>
            <w:pPr>
              <w:widowControl/>
              <w:jc w:val="center"/>
              <w:rPr>
                <w:rFonts w:cs="宋体"/>
                <w:kern w:val="0"/>
                <w:sz w:val="22"/>
              </w:rPr>
            </w:pPr>
            <w:r>
              <w:rPr>
                <w:rFonts w:hint="eastAsia" w:cs="宋体"/>
                <w:kern w:val="0"/>
                <w:sz w:val="22"/>
              </w:rPr>
              <w:t>9</w:t>
            </w:r>
          </w:p>
        </w:tc>
        <w:tc>
          <w:tcPr>
            <w:tcW w:w="2128" w:type="dxa"/>
            <w:tcBorders>
              <w:top w:val="single" w:color="auto" w:sz="4" w:space="0"/>
              <w:left w:val="nil"/>
              <w:right w:val="single" w:color="auto" w:sz="4" w:space="0"/>
            </w:tcBorders>
            <w:shd w:val="clear" w:color="000000" w:fill="FFFFFF"/>
            <w:vAlign w:val="center"/>
          </w:tcPr>
          <w:p>
            <w:pPr>
              <w:widowControl/>
              <w:jc w:val="left"/>
              <w:rPr>
                <w:rFonts w:ascii="宋体" w:hAnsi="宋体" w:cs="宋体"/>
                <w:kern w:val="0"/>
                <w:sz w:val="22"/>
              </w:rPr>
            </w:pPr>
            <w:r>
              <w:rPr>
                <w:rFonts w:hint="eastAsia" w:ascii="宋体" w:hAnsi="宋体" w:cs="宋体"/>
                <w:kern w:val="0"/>
                <w:sz w:val="22"/>
              </w:rPr>
              <w:t>交货期限</w:t>
            </w:r>
          </w:p>
        </w:tc>
        <w:tc>
          <w:tcPr>
            <w:tcW w:w="5594" w:type="dxa"/>
            <w:tcBorders>
              <w:top w:val="single" w:color="auto" w:sz="4" w:space="0"/>
              <w:left w:val="nil"/>
              <w:right w:val="single" w:color="auto" w:sz="4" w:space="0"/>
            </w:tcBorders>
            <w:shd w:val="clear" w:color="000000" w:fill="FFFFFF"/>
            <w:vAlign w:val="center"/>
          </w:tcPr>
          <w:p>
            <w:pPr>
              <w:widowControl/>
              <w:rPr>
                <w:rFonts w:ascii="宋体" w:hAnsi="宋体" w:cs="宋体"/>
                <w:kern w:val="0"/>
                <w:sz w:val="22"/>
              </w:rPr>
            </w:pPr>
            <w:r>
              <w:rPr>
                <w:rFonts w:hint="eastAsia" w:ascii="宋体" w:hAnsi="宋体" w:cs="宋体"/>
                <w:kern w:val="0"/>
                <w:sz w:val="22"/>
              </w:rPr>
              <w:t>要求报价</w:t>
            </w:r>
            <w:r>
              <w:rPr>
                <w:rFonts w:ascii="宋体" w:hAnsi="宋体" w:cs="宋体"/>
                <w:kern w:val="0"/>
                <w:sz w:val="22"/>
              </w:rPr>
              <w:t>方必须满足</w:t>
            </w:r>
            <w:r>
              <w:rPr>
                <w:rFonts w:ascii="宋体" w:hAnsi="宋体" w:cs="宋体"/>
                <w:b/>
                <w:bCs/>
                <w:kern w:val="0"/>
                <w:sz w:val="22"/>
              </w:rPr>
              <w:t>合同</w:t>
            </w:r>
            <w:r>
              <w:rPr>
                <w:rFonts w:hint="eastAsia" w:ascii="宋体" w:hAnsi="宋体" w:cs="宋体"/>
                <w:b/>
                <w:bCs/>
                <w:kern w:val="0"/>
                <w:sz w:val="22"/>
              </w:rPr>
              <w:t>生效</w:t>
            </w:r>
            <w:r>
              <w:rPr>
                <w:rFonts w:ascii="宋体" w:hAnsi="宋体" w:cs="宋体"/>
                <w:b/>
                <w:bCs/>
                <w:kern w:val="0"/>
                <w:sz w:val="22"/>
              </w:rPr>
              <w:t>后</w:t>
            </w:r>
            <w:r>
              <w:rPr>
                <w:rFonts w:hint="eastAsia" w:ascii="宋体" w:hAnsi="宋体" w:cs="宋体"/>
                <w:b/>
                <w:bCs/>
                <w:kern w:val="0"/>
                <w:sz w:val="22"/>
                <w:u w:val="single"/>
              </w:rPr>
              <w:t>30</w:t>
            </w:r>
            <w:r>
              <w:rPr>
                <w:rFonts w:hint="eastAsia" w:ascii="宋体" w:hAnsi="宋体" w:cs="宋体"/>
                <w:b/>
                <w:bCs/>
                <w:kern w:val="0"/>
                <w:sz w:val="22"/>
              </w:rPr>
              <w:t>日内</w:t>
            </w:r>
            <w:r>
              <w:rPr>
                <w:rFonts w:ascii="宋体" w:hAnsi="宋体" w:cs="宋体"/>
                <w:kern w:val="0"/>
                <w:sz w:val="22"/>
              </w:rPr>
              <w:t>到货</w:t>
            </w:r>
            <w:r>
              <w:rPr>
                <w:rFonts w:hint="eastAsia" w:ascii="宋体" w:hAnsi="宋体" w:cs="宋体"/>
                <w:kern w:val="0"/>
                <w:sz w:val="22"/>
              </w:rPr>
              <w:t>，</w:t>
            </w:r>
            <w:r>
              <w:rPr>
                <w:rFonts w:ascii="宋体" w:hAnsi="宋体" w:cs="宋体"/>
                <w:kern w:val="0"/>
                <w:sz w:val="22"/>
              </w:rPr>
              <w:t>如不能满足严禁</w:t>
            </w:r>
            <w:r>
              <w:rPr>
                <w:rFonts w:hint="eastAsia" w:ascii="宋体" w:hAnsi="宋体" w:cs="宋体"/>
                <w:kern w:val="0"/>
                <w:sz w:val="22"/>
              </w:rPr>
              <w:t>参与</w:t>
            </w:r>
            <w:r>
              <w:rPr>
                <w:rFonts w:ascii="宋体" w:hAnsi="宋体" w:cs="宋体"/>
                <w:kern w:val="0"/>
                <w:sz w:val="22"/>
              </w:rPr>
              <w:t>报价，否则</w:t>
            </w:r>
            <w:r>
              <w:rPr>
                <w:rFonts w:hint="eastAsia" w:ascii="宋体" w:hAnsi="宋体" w:cs="宋体"/>
                <w:kern w:val="0"/>
                <w:sz w:val="22"/>
              </w:rPr>
              <w:t>终止</w:t>
            </w:r>
            <w:r>
              <w:rPr>
                <w:rFonts w:ascii="宋体" w:hAnsi="宋体" w:cs="宋体"/>
                <w:kern w:val="0"/>
                <w:sz w:val="22"/>
              </w:rPr>
              <w:t>合同并</w:t>
            </w:r>
            <w:r>
              <w:rPr>
                <w:rFonts w:hint="eastAsia" w:ascii="宋体" w:hAnsi="宋体" w:cs="宋体"/>
                <w:kern w:val="0"/>
                <w:sz w:val="22"/>
              </w:rPr>
              <w:t>纳入</w:t>
            </w:r>
            <w:r>
              <w:rPr>
                <w:rFonts w:ascii="宋体" w:hAnsi="宋体" w:cs="宋体"/>
                <w:kern w:val="0"/>
                <w:sz w:val="22"/>
              </w:rPr>
              <w:t>供应商考评</w:t>
            </w:r>
            <w:r>
              <w:rPr>
                <w:rFonts w:hint="eastAsia" w:ascii="宋体" w:hAnsi="宋体" w:cs="宋体"/>
                <w:kern w:val="0"/>
                <w:sz w:val="22"/>
              </w:rPr>
              <w:t>。</w:t>
            </w:r>
          </w:p>
        </w:tc>
      </w:tr>
      <w:tr>
        <w:tblPrEx>
          <w:tblCellMar>
            <w:top w:w="0" w:type="dxa"/>
            <w:left w:w="108" w:type="dxa"/>
            <w:bottom w:w="0" w:type="dxa"/>
            <w:right w:w="108" w:type="dxa"/>
          </w:tblCellMar>
        </w:tblPrEx>
        <w:trPr>
          <w:trHeight w:val="765" w:hRule="atLeast"/>
        </w:trPr>
        <w:tc>
          <w:tcPr>
            <w:tcW w:w="1137" w:type="dxa"/>
            <w:tcBorders>
              <w:top w:val="single" w:color="auto" w:sz="4" w:space="0"/>
              <w:left w:val="single" w:color="auto" w:sz="4" w:space="0"/>
              <w:right w:val="single" w:color="auto" w:sz="4" w:space="0"/>
            </w:tcBorders>
            <w:shd w:val="clear" w:color="000000" w:fill="FFFFFF"/>
            <w:vAlign w:val="center"/>
          </w:tcPr>
          <w:p>
            <w:pPr>
              <w:widowControl/>
              <w:jc w:val="center"/>
              <w:rPr>
                <w:rFonts w:cs="宋体"/>
                <w:kern w:val="0"/>
                <w:sz w:val="22"/>
              </w:rPr>
            </w:pPr>
            <w:r>
              <w:rPr>
                <w:rFonts w:cs="宋体"/>
                <w:kern w:val="0"/>
                <w:sz w:val="22"/>
              </w:rPr>
              <w:t>10</w:t>
            </w:r>
          </w:p>
        </w:tc>
        <w:tc>
          <w:tcPr>
            <w:tcW w:w="2128" w:type="dxa"/>
            <w:tcBorders>
              <w:top w:val="single" w:color="auto" w:sz="4" w:space="0"/>
              <w:left w:val="nil"/>
              <w:right w:val="single" w:color="auto" w:sz="4" w:space="0"/>
            </w:tcBorders>
            <w:shd w:val="clear" w:color="000000" w:fill="FFFFFF"/>
            <w:vAlign w:val="center"/>
          </w:tcPr>
          <w:p>
            <w:pPr>
              <w:widowControl/>
              <w:jc w:val="left"/>
              <w:rPr>
                <w:rFonts w:ascii="宋体" w:hAnsi="宋体" w:cs="宋体"/>
                <w:kern w:val="0"/>
                <w:sz w:val="22"/>
              </w:rPr>
            </w:pPr>
            <w:r>
              <w:rPr>
                <w:rFonts w:hint="eastAsia" w:ascii="宋体" w:hAnsi="宋体" w:cs="宋体"/>
                <w:kern w:val="0"/>
                <w:sz w:val="22"/>
              </w:rPr>
              <w:t>报价评价原则</w:t>
            </w:r>
          </w:p>
        </w:tc>
        <w:tc>
          <w:tcPr>
            <w:tcW w:w="5594" w:type="dxa"/>
            <w:tcBorders>
              <w:top w:val="single" w:color="auto" w:sz="4" w:space="0"/>
              <w:left w:val="nil"/>
              <w:right w:val="single" w:color="auto" w:sz="4" w:space="0"/>
            </w:tcBorders>
            <w:shd w:val="clear" w:color="000000" w:fill="FFFFFF"/>
            <w:vAlign w:val="center"/>
          </w:tcPr>
          <w:p>
            <w:pPr>
              <w:widowControl/>
              <w:rPr>
                <w:rFonts w:ascii="宋体" w:hAnsi="宋体" w:cs="宋体"/>
                <w:kern w:val="0"/>
                <w:sz w:val="22"/>
              </w:rPr>
            </w:pPr>
            <w:r>
              <w:rPr>
                <w:rFonts w:hint="eastAsia" w:ascii="宋体" w:hAnsi="宋体" w:cs="宋体"/>
                <w:kern w:val="0"/>
                <w:sz w:val="22"/>
              </w:rPr>
              <w:t>最低价法</w:t>
            </w:r>
          </w:p>
        </w:tc>
      </w:tr>
      <w:tr>
        <w:tblPrEx>
          <w:tblCellMar>
            <w:top w:w="0" w:type="dxa"/>
            <w:left w:w="108" w:type="dxa"/>
            <w:bottom w:w="0" w:type="dxa"/>
            <w:right w:w="108" w:type="dxa"/>
          </w:tblCellMar>
        </w:tblPrEx>
        <w:trPr>
          <w:trHeight w:val="1500" w:hRule="atLeast"/>
        </w:trPr>
        <w:tc>
          <w:tcPr>
            <w:tcW w:w="1137"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cs="宋体"/>
                <w:kern w:val="0"/>
                <w:sz w:val="22"/>
              </w:rPr>
            </w:pPr>
            <w:r>
              <w:rPr>
                <w:rFonts w:cs="宋体"/>
                <w:kern w:val="0"/>
                <w:sz w:val="22"/>
              </w:rPr>
              <w:t>11</w:t>
            </w:r>
          </w:p>
        </w:tc>
        <w:tc>
          <w:tcPr>
            <w:tcW w:w="2128" w:type="dxa"/>
            <w:tcBorders>
              <w:top w:val="single" w:color="auto" w:sz="4" w:space="0"/>
              <w:left w:val="nil"/>
              <w:bottom w:val="single" w:color="auto" w:sz="4" w:space="0"/>
              <w:right w:val="nil"/>
            </w:tcBorders>
            <w:shd w:val="clear" w:color="000000" w:fill="FFFFFF"/>
            <w:vAlign w:val="center"/>
          </w:tcPr>
          <w:p>
            <w:pPr>
              <w:widowControl/>
              <w:jc w:val="left"/>
              <w:rPr>
                <w:rFonts w:ascii="宋体" w:hAnsi="宋体" w:cs="宋体"/>
                <w:kern w:val="0"/>
                <w:sz w:val="22"/>
              </w:rPr>
            </w:pPr>
            <w:r>
              <w:rPr>
                <w:rFonts w:hint="eastAsia" w:ascii="宋体" w:hAnsi="宋体" w:cs="宋体"/>
                <w:kern w:val="0"/>
                <w:sz w:val="22"/>
              </w:rPr>
              <w:t>合同主要条款</w:t>
            </w:r>
          </w:p>
        </w:tc>
        <w:tc>
          <w:tcPr>
            <w:tcW w:w="5594"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left"/>
              <w:rPr>
                <w:rFonts w:ascii="宋体" w:hAnsi="宋体" w:cs="宋体"/>
                <w:kern w:val="0"/>
                <w:sz w:val="22"/>
              </w:rPr>
            </w:pPr>
            <w:r>
              <w:rPr>
                <w:rFonts w:hint="eastAsia" w:ascii="宋体" w:hAnsi="宋体" w:cs="宋体"/>
                <w:kern w:val="0"/>
                <w:sz w:val="22"/>
              </w:rPr>
              <w:t>(1) 合同范围；</w:t>
            </w:r>
            <w:r>
              <w:rPr>
                <w:rFonts w:hint="eastAsia" w:ascii="宋体" w:hAnsi="宋体" w:cs="宋体"/>
                <w:kern w:val="0"/>
                <w:sz w:val="22"/>
              </w:rPr>
              <w:br w:type="textWrapping"/>
            </w:r>
            <w:r>
              <w:rPr>
                <w:rFonts w:hint="eastAsia" w:ascii="宋体" w:hAnsi="宋体" w:cs="宋体"/>
                <w:kern w:val="0"/>
                <w:sz w:val="22"/>
              </w:rPr>
              <w:t>(2) 合同价格；</w:t>
            </w:r>
            <w:r>
              <w:rPr>
                <w:rFonts w:hint="eastAsia" w:ascii="宋体" w:hAnsi="宋体" w:cs="宋体"/>
                <w:kern w:val="0"/>
                <w:sz w:val="22"/>
              </w:rPr>
              <w:br w:type="textWrapping"/>
            </w:r>
            <w:r>
              <w:rPr>
                <w:rFonts w:hint="eastAsia" w:ascii="宋体" w:hAnsi="宋体" w:cs="宋体"/>
                <w:kern w:val="0"/>
                <w:sz w:val="22"/>
              </w:rPr>
              <w:t>(3)</w:t>
            </w:r>
            <w:r>
              <w:rPr>
                <w:rFonts w:hint="eastAsia" w:ascii="宋体" w:hAnsi="宋体" w:cs="宋体"/>
                <w:color w:val="00B0F0"/>
                <w:kern w:val="0"/>
                <w:sz w:val="22"/>
              </w:rPr>
              <w:t>合同后</w:t>
            </w:r>
            <w:r>
              <w:rPr>
                <w:rFonts w:ascii="宋体" w:hAnsi="宋体" w:cs="宋体"/>
                <w:color w:val="00B0F0"/>
                <w:kern w:val="0"/>
                <w:sz w:val="22"/>
              </w:rPr>
              <w:t>付款</w:t>
            </w:r>
            <w:r>
              <w:rPr>
                <w:rFonts w:ascii="宋体" w:hAnsi="宋体" w:cs="宋体"/>
                <w:kern w:val="0"/>
                <w:sz w:val="22"/>
              </w:rPr>
              <w:t>；</w:t>
            </w:r>
          </w:p>
          <w:p>
            <w:pPr>
              <w:widowControl/>
              <w:jc w:val="left"/>
              <w:rPr>
                <w:rFonts w:ascii="宋体" w:hAnsi="宋体" w:cs="宋体"/>
                <w:kern w:val="0"/>
                <w:sz w:val="22"/>
              </w:rPr>
            </w:pPr>
            <w:r>
              <w:rPr>
                <w:rFonts w:hint="eastAsia" w:ascii="宋体" w:hAnsi="宋体" w:cs="宋体"/>
                <w:kern w:val="0"/>
                <w:sz w:val="22"/>
              </w:rPr>
              <w:t>(4) 服务期；</w:t>
            </w:r>
            <w:r>
              <w:rPr>
                <w:rFonts w:hint="eastAsia" w:ascii="宋体" w:hAnsi="宋体" w:cs="宋体"/>
                <w:kern w:val="0"/>
                <w:sz w:val="22"/>
              </w:rPr>
              <w:br w:type="textWrapping"/>
            </w:r>
            <w:r>
              <w:rPr>
                <w:rFonts w:hint="eastAsia" w:ascii="宋体" w:hAnsi="宋体" w:cs="宋体"/>
                <w:kern w:val="0"/>
                <w:sz w:val="22"/>
              </w:rPr>
              <w:t>(5) 其他内容</w:t>
            </w:r>
          </w:p>
        </w:tc>
      </w:tr>
    </w:tbl>
    <w:p>
      <w:pPr>
        <w:pageBreakBefore/>
        <w:numPr>
          <w:ilvl w:val="0"/>
          <w:numId w:val="1"/>
        </w:numPr>
        <w:spacing w:line="360" w:lineRule="auto"/>
        <w:jc w:val="center"/>
        <w:rPr>
          <w:rFonts w:ascii="黑体" w:hAnsi="黑体" w:eastAsia="黑体"/>
          <w:sz w:val="40"/>
          <w:szCs w:val="32"/>
        </w:rPr>
      </w:pPr>
      <w:r>
        <w:rPr>
          <w:rFonts w:hint="eastAsia" w:ascii="黑体" w:hAnsi="黑体" w:eastAsia="黑体"/>
          <w:sz w:val="40"/>
          <w:szCs w:val="32"/>
        </w:rPr>
        <w:t>采购项目概况</w:t>
      </w:r>
    </w:p>
    <w:p>
      <w:pPr>
        <w:pStyle w:val="19"/>
        <w:spacing w:line="360" w:lineRule="auto"/>
        <w:jc w:val="left"/>
        <w:rPr>
          <w:rFonts w:asciiTheme="minorEastAsia" w:hAnsiTheme="minorEastAsia"/>
          <w:sz w:val="24"/>
        </w:rPr>
      </w:pPr>
    </w:p>
    <w:p>
      <w:pPr>
        <w:pStyle w:val="19"/>
        <w:spacing w:line="360" w:lineRule="auto"/>
        <w:rPr>
          <w:sz w:val="24"/>
        </w:rPr>
      </w:pPr>
      <w:r>
        <w:rPr>
          <w:sz w:val="24"/>
        </w:rPr>
        <w:t>项目说明</w:t>
      </w:r>
      <w:r>
        <w:rPr>
          <w:rFonts w:hint="eastAsia"/>
          <w:sz w:val="24"/>
        </w:rPr>
        <w:t>：</w:t>
      </w:r>
      <w:r>
        <w:rPr>
          <w:rFonts w:hint="eastAsia" w:ascii="宋体" w:hAnsi="宋体"/>
          <w:color w:val="000000"/>
          <w:kern w:val="0"/>
          <w:sz w:val="24"/>
        </w:rPr>
        <w:t>本次物资采购</w:t>
      </w:r>
      <w:r>
        <w:rPr>
          <w:rFonts w:hint="eastAsia"/>
          <w:sz w:val="24"/>
        </w:rPr>
        <w:t>包</w:t>
      </w:r>
      <w:r>
        <w:rPr>
          <w:rFonts w:hint="eastAsia" w:ascii="宋体" w:hAnsi="宋体"/>
          <w:color w:val="000000"/>
          <w:kern w:val="0"/>
          <w:sz w:val="24"/>
        </w:rPr>
        <w:t>括：路面修补材料WK-010 25KG/BAG（13500公斤）、</w:t>
      </w:r>
      <w:r>
        <w:rPr>
          <w:rFonts w:hint="eastAsia"/>
          <w:sz w:val="24"/>
        </w:rPr>
        <w:t>混凝土C25（50立方米）、大理石600×600（400块）、水泥#425（10吨）、大理石600×300×20（450块）、大理石600×400×20（10块）、大理石750×600×20（10块）、大理石900×600×20（32块）、大理石1000×600×20（8块）、大理石1200×500×20（25块）、大理石1200×600×20（240块）备件，用于上都电厂机组检修材料。</w:t>
      </w:r>
    </w:p>
    <w:p>
      <w:pPr>
        <w:pStyle w:val="19"/>
        <w:spacing w:line="360" w:lineRule="auto"/>
        <w:rPr>
          <w:sz w:val="24"/>
        </w:rPr>
      </w:pPr>
      <w:r>
        <w:rPr>
          <w:rFonts w:hint="eastAsia"/>
          <w:sz w:val="24"/>
        </w:rPr>
        <w:t>地点：正蓝旗上都镇上都电厂</w:t>
      </w:r>
    </w:p>
    <w:p>
      <w:pPr>
        <w:pStyle w:val="19"/>
        <w:spacing w:line="360" w:lineRule="auto"/>
        <w:rPr>
          <w:sz w:val="24"/>
        </w:rPr>
      </w:pPr>
      <w:r>
        <w:rPr>
          <w:rFonts w:hint="eastAsia"/>
          <w:sz w:val="24"/>
        </w:rPr>
        <w:t>供货期：</w:t>
      </w:r>
      <w:r>
        <w:rPr>
          <w:sz w:val="24"/>
        </w:rPr>
        <w:t>合同</w:t>
      </w:r>
      <w:r>
        <w:rPr>
          <w:rFonts w:hint="eastAsia"/>
          <w:sz w:val="24"/>
        </w:rPr>
        <w:t>生效</w:t>
      </w:r>
      <w:r>
        <w:rPr>
          <w:sz w:val="24"/>
        </w:rPr>
        <w:t>后</w:t>
      </w:r>
      <w:r>
        <w:rPr>
          <w:rFonts w:hint="eastAsia"/>
          <w:sz w:val="24"/>
        </w:rPr>
        <w:t>30日内</w:t>
      </w:r>
    </w:p>
    <w:p>
      <w:pPr>
        <w:pStyle w:val="19"/>
        <w:spacing w:line="360" w:lineRule="auto"/>
        <w:rPr>
          <w:b/>
          <w:sz w:val="32"/>
          <w:szCs w:val="32"/>
        </w:rPr>
      </w:pPr>
    </w:p>
    <w:p>
      <w:pPr>
        <w:pStyle w:val="19"/>
        <w:pageBreakBefore/>
        <w:spacing w:line="360" w:lineRule="auto"/>
        <w:jc w:val="center"/>
        <w:rPr>
          <w:rFonts w:ascii="黑体" w:hAnsi="黑体" w:eastAsia="黑体"/>
          <w:sz w:val="40"/>
          <w:szCs w:val="32"/>
        </w:rPr>
      </w:pPr>
      <w:r>
        <w:rPr>
          <w:rFonts w:hint="eastAsia" w:ascii="黑体" w:hAnsi="黑体" w:eastAsia="黑体"/>
          <w:sz w:val="40"/>
          <w:szCs w:val="32"/>
        </w:rPr>
        <w:t>第三章 供应商资格要求</w:t>
      </w:r>
    </w:p>
    <w:p>
      <w:pPr>
        <w:pStyle w:val="19"/>
        <w:spacing w:line="360" w:lineRule="auto"/>
        <w:rPr>
          <w:rFonts w:ascii="黑体" w:hAnsi="黑体" w:eastAsia="黑体"/>
          <w:sz w:val="24"/>
        </w:rPr>
      </w:pPr>
    </w:p>
    <w:p>
      <w:pPr>
        <w:pStyle w:val="19"/>
        <w:spacing w:line="360" w:lineRule="auto"/>
        <w:rPr>
          <w:rFonts w:ascii="黑体" w:hAnsi="黑体" w:eastAsia="黑体"/>
          <w:b/>
          <w:sz w:val="24"/>
        </w:rPr>
      </w:pPr>
      <w:r>
        <w:rPr>
          <w:rFonts w:hint="eastAsia" w:ascii="黑体" w:hAnsi="黑体" w:eastAsia="黑体"/>
          <w:b/>
          <w:sz w:val="24"/>
        </w:rPr>
        <w:t>一、通用条款</w:t>
      </w:r>
    </w:p>
    <w:p>
      <w:pPr>
        <w:pStyle w:val="19"/>
        <w:spacing w:line="360" w:lineRule="auto"/>
        <w:rPr>
          <w:rFonts w:asciiTheme="minorEastAsia" w:hAnsiTheme="minorEastAsia"/>
          <w:sz w:val="24"/>
        </w:rPr>
      </w:pPr>
      <w:r>
        <w:rPr>
          <w:rFonts w:hint="eastAsia" w:asciiTheme="minorEastAsia" w:hAnsiTheme="minorEastAsia"/>
          <w:sz w:val="24"/>
        </w:rPr>
        <w:t>1.报价人必须</w:t>
      </w:r>
      <w:r>
        <w:rPr>
          <w:rFonts w:asciiTheme="minorEastAsia" w:hAnsiTheme="minorEastAsia"/>
          <w:sz w:val="24"/>
        </w:rPr>
        <w:t>具有中华人民共和国独立企业法人资格</w:t>
      </w:r>
      <w:r>
        <w:rPr>
          <w:rFonts w:hint="eastAsia" w:asciiTheme="minorEastAsia" w:hAnsiTheme="minorEastAsia"/>
          <w:sz w:val="24"/>
        </w:rPr>
        <w:t>；</w:t>
      </w:r>
    </w:p>
    <w:p>
      <w:pPr>
        <w:pStyle w:val="19"/>
        <w:spacing w:line="360" w:lineRule="auto"/>
        <w:rPr>
          <w:rFonts w:asciiTheme="minorEastAsia" w:hAnsiTheme="minorEastAsia"/>
          <w:sz w:val="24"/>
        </w:rPr>
      </w:pPr>
      <w:r>
        <w:rPr>
          <w:rFonts w:hint="eastAsia" w:asciiTheme="minorEastAsia" w:hAnsiTheme="minorEastAsia"/>
          <w:sz w:val="24"/>
        </w:rPr>
        <w:t>2.具有良好的银行资信和商业信誉，未处于财产被接管、冻结、破产状态，未处于有关禁止经营的行政处罚期间；</w:t>
      </w:r>
    </w:p>
    <w:p>
      <w:pPr>
        <w:pStyle w:val="19"/>
        <w:spacing w:line="360" w:lineRule="auto"/>
        <w:rPr>
          <w:rFonts w:asciiTheme="minorEastAsia" w:hAnsiTheme="minorEastAsia"/>
          <w:sz w:val="24"/>
        </w:rPr>
      </w:pPr>
      <w:r>
        <w:rPr>
          <w:rFonts w:hint="eastAsia" w:asciiTheme="minorEastAsia" w:hAnsiTheme="minorEastAsia"/>
          <w:sz w:val="24"/>
        </w:rPr>
        <w:t>3.单位负责人为同一人或者存在控股、管理关系的不同单位，不得同时参加此次报价；</w:t>
      </w:r>
    </w:p>
    <w:p>
      <w:pPr>
        <w:pStyle w:val="19"/>
        <w:spacing w:line="360" w:lineRule="auto"/>
        <w:rPr>
          <w:rFonts w:asciiTheme="minorEastAsia" w:hAnsiTheme="minorEastAsia"/>
          <w:sz w:val="24"/>
        </w:rPr>
      </w:pPr>
      <w:r>
        <w:rPr>
          <w:rFonts w:hint="eastAsia" w:asciiTheme="minorEastAsia" w:hAnsiTheme="minorEastAsia"/>
          <w:sz w:val="24"/>
        </w:rPr>
        <w:t>4.不得处于人民法院“失信被执行人”名单和工商行政管理机关“严重违法失信企业”名单；</w:t>
      </w:r>
    </w:p>
    <w:p>
      <w:pPr>
        <w:pStyle w:val="19"/>
        <w:spacing w:line="360" w:lineRule="auto"/>
        <w:rPr>
          <w:rFonts w:asciiTheme="minorEastAsia" w:hAnsiTheme="minorEastAsia"/>
          <w:sz w:val="24"/>
        </w:rPr>
      </w:pPr>
      <w:r>
        <w:rPr>
          <w:rFonts w:hint="eastAsia" w:asciiTheme="minorEastAsia" w:hAnsiTheme="minorEastAsia"/>
          <w:sz w:val="24"/>
        </w:rPr>
        <w:t>5.</w:t>
      </w:r>
      <w:r>
        <w:rPr>
          <w:rFonts w:hint="eastAsia" w:ascii="Arial" w:hAnsi="宋体" w:cs="Arial"/>
          <w:color w:val="000000"/>
          <w:sz w:val="24"/>
        </w:rPr>
        <w:t>报价方保障采购方在本次采购中涉及的任何因规定用途而使用的合同、设备、服务和文件等，不受第三方关于知识产权的侵权指控。如果发生任何第三方的侵权指控，采购方不承担任何法律及经济责任，完全由报价方与第三方交涉并使采购方免受由于第三方索赔从法律及经济责任上所造成的损害</w:t>
      </w:r>
      <w:r>
        <w:rPr>
          <w:rFonts w:hint="eastAsia" w:asciiTheme="minorEastAsia" w:hAnsiTheme="minorEastAsia"/>
          <w:sz w:val="24"/>
        </w:rPr>
        <w:t>；</w:t>
      </w:r>
    </w:p>
    <w:p>
      <w:pPr>
        <w:pStyle w:val="19"/>
        <w:spacing w:line="360" w:lineRule="auto"/>
        <w:rPr>
          <w:rFonts w:asciiTheme="minorEastAsia" w:hAnsiTheme="minorEastAsia"/>
          <w:sz w:val="24"/>
        </w:rPr>
      </w:pPr>
      <w:r>
        <w:rPr>
          <w:rFonts w:hint="eastAsia" w:asciiTheme="minorEastAsia" w:hAnsiTheme="minorEastAsia"/>
          <w:sz w:val="24"/>
        </w:rPr>
        <w:t>6.不存在</w:t>
      </w:r>
      <w:r>
        <w:rPr>
          <w:rFonts w:asciiTheme="minorEastAsia" w:hAnsiTheme="minorEastAsia"/>
          <w:sz w:val="24"/>
        </w:rPr>
        <w:t>上传数据或响应文件的互联网协议地址（</w:t>
      </w:r>
      <w:r>
        <w:rPr>
          <w:rFonts w:hint="eastAsia" w:asciiTheme="minorEastAsia" w:hAnsiTheme="minorEastAsia"/>
          <w:sz w:val="24"/>
        </w:rPr>
        <w:t>IP地址</w:t>
      </w:r>
      <w:r>
        <w:rPr>
          <w:rFonts w:asciiTheme="minorEastAsia" w:hAnsiTheme="minorEastAsia"/>
          <w:sz w:val="24"/>
        </w:rPr>
        <w:t>）</w:t>
      </w:r>
      <w:r>
        <w:rPr>
          <w:rFonts w:hint="eastAsia" w:asciiTheme="minorEastAsia" w:hAnsiTheme="minorEastAsia"/>
          <w:sz w:val="24"/>
        </w:rPr>
        <w:t>信息</w:t>
      </w:r>
      <w:r>
        <w:rPr>
          <w:rFonts w:asciiTheme="minorEastAsia" w:hAnsiTheme="minorEastAsia"/>
          <w:sz w:val="24"/>
        </w:rPr>
        <w:t>检查一致的情况，否则将视为</w:t>
      </w:r>
      <w:r>
        <w:rPr>
          <w:rFonts w:hint="eastAsia" w:asciiTheme="minorEastAsia" w:hAnsiTheme="minorEastAsia"/>
          <w:sz w:val="24"/>
        </w:rPr>
        <w:t>串通</w:t>
      </w:r>
      <w:r>
        <w:rPr>
          <w:rFonts w:asciiTheme="minorEastAsia" w:hAnsiTheme="minorEastAsia"/>
          <w:sz w:val="24"/>
        </w:rPr>
        <w:t>投标</w:t>
      </w:r>
      <w:r>
        <w:rPr>
          <w:rFonts w:hint="eastAsia" w:asciiTheme="minorEastAsia" w:hAnsiTheme="minorEastAsia"/>
          <w:sz w:val="24"/>
        </w:rPr>
        <w:t>并</w:t>
      </w:r>
      <w:r>
        <w:rPr>
          <w:rFonts w:asciiTheme="minorEastAsia" w:hAnsiTheme="minorEastAsia"/>
          <w:sz w:val="24"/>
        </w:rPr>
        <w:t>否决其投标；</w:t>
      </w:r>
    </w:p>
    <w:p>
      <w:pPr>
        <w:pStyle w:val="19"/>
        <w:spacing w:line="360" w:lineRule="auto"/>
        <w:rPr>
          <w:rFonts w:asciiTheme="minorEastAsia" w:hAnsiTheme="minorEastAsia"/>
          <w:color w:val="00B0F0"/>
          <w:sz w:val="24"/>
        </w:rPr>
      </w:pPr>
      <w:r>
        <w:rPr>
          <w:rFonts w:hint="eastAsia" w:asciiTheme="minorEastAsia" w:hAnsiTheme="minorEastAsia"/>
          <w:sz w:val="24"/>
        </w:rPr>
        <w:t>7.允许代理商参与的，只允许生产商或制造商直接授权的代理商参与采购项目，禁止存在转授权情况的代理商参与采购项目。</w:t>
      </w:r>
      <w:r>
        <w:rPr>
          <w:rFonts w:hint="eastAsia" w:asciiTheme="minorEastAsia" w:hAnsiTheme="minorEastAsia"/>
          <w:color w:val="00B0F0"/>
          <w:sz w:val="24"/>
        </w:rPr>
        <w:t>（有授权要求方有此条款）</w:t>
      </w:r>
    </w:p>
    <w:p>
      <w:pPr>
        <w:pStyle w:val="19"/>
        <w:spacing w:line="360" w:lineRule="auto"/>
        <w:rPr>
          <w:rFonts w:ascii="黑体" w:hAnsi="黑体" w:eastAsia="黑体"/>
          <w:b/>
          <w:sz w:val="24"/>
        </w:rPr>
      </w:pPr>
      <w:r>
        <w:rPr>
          <w:rFonts w:hint="eastAsia" w:ascii="黑体" w:hAnsi="黑体" w:eastAsia="黑体"/>
          <w:b/>
          <w:sz w:val="24"/>
        </w:rPr>
        <w:t>二、专用条款</w:t>
      </w:r>
    </w:p>
    <w:p>
      <w:pPr>
        <w:pStyle w:val="19"/>
        <w:spacing w:line="360" w:lineRule="auto"/>
        <w:rPr>
          <w:rFonts w:asciiTheme="minorEastAsia" w:hAnsiTheme="minorEastAsia"/>
          <w:sz w:val="24"/>
        </w:rPr>
      </w:pPr>
      <w:r>
        <w:rPr>
          <w:rFonts w:hint="eastAsia" w:asciiTheme="minorEastAsia" w:hAnsiTheme="minorEastAsia"/>
          <w:sz w:val="24"/>
        </w:rPr>
        <w:t>无</w:t>
      </w:r>
    </w:p>
    <w:p>
      <w:pPr>
        <w:pStyle w:val="12"/>
        <w:pageBreakBefore/>
        <w:spacing w:line="360" w:lineRule="auto"/>
        <w:jc w:val="center"/>
        <w:rPr>
          <w:rFonts w:ascii="黑体" w:hAnsi="黑体" w:eastAsia="黑体"/>
          <w:sz w:val="40"/>
          <w:szCs w:val="32"/>
        </w:rPr>
      </w:pPr>
      <w:r>
        <w:rPr>
          <w:rFonts w:hint="eastAsia" w:ascii="黑体" w:hAnsi="黑体" w:eastAsia="黑体"/>
          <w:sz w:val="40"/>
          <w:szCs w:val="32"/>
        </w:rPr>
        <w:t>第四章 技术规范要求</w:t>
      </w:r>
    </w:p>
    <w:p>
      <w:pPr>
        <w:pStyle w:val="19"/>
        <w:spacing w:line="360" w:lineRule="auto"/>
        <w:ind w:firstLine="480" w:firstLineChars="200"/>
        <w:rPr>
          <w:rFonts w:ascii="宋体"/>
          <w:sz w:val="24"/>
        </w:rPr>
      </w:pPr>
      <w:r>
        <w:rPr>
          <w:rFonts w:hint="eastAsia" w:asciiTheme="minorEastAsia" w:hAnsiTheme="minorEastAsia"/>
          <w:sz w:val="24"/>
        </w:rPr>
        <w:t xml:space="preserve"> </w:t>
      </w:r>
      <w:r>
        <w:rPr>
          <w:rFonts w:hint="eastAsia" w:ascii="宋体"/>
          <w:sz w:val="24"/>
        </w:rPr>
        <w:t>(一)、设备需求一览表</w:t>
      </w:r>
    </w:p>
    <w:tbl>
      <w:tblPr>
        <w:tblStyle w:val="9"/>
        <w:tblW w:w="88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38"/>
        <w:gridCol w:w="563"/>
        <w:gridCol w:w="567"/>
        <w:gridCol w:w="708"/>
        <w:gridCol w:w="709"/>
        <w:gridCol w:w="567"/>
        <w:gridCol w:w="1276"/>
        <w:gridCol w:w="1417"/>
        <w:gridCol w:w="709"/>
        <w:gridCol w:w="709"/>
        <w:gridCol w:w="11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trPr>
        <w:tc>
          <w:tcPr>
            <w:tcW w:w="538" w:type="dxa"/>
            <w:vMerge w:val="restart"/>
            <w:vAlign w:val="center"/>
          </w:tcPr>
          <w:p>
            <w:pPr>
              <w:pStyle w:val="19"/>
              <w:spacing w:line="360" w:lineRule="auto"/>
              <w:rPr>
                <w:rFonts w:ascii="宋体"/>
                <w:sz w:val="24"/>
              </w:rPr>
            </w:pPr>
            <w:r>
              <w:rPr>
                <w:rFonts w:hint="eastAsia" w:ascii="宋体"/>
                <w:sz w:val="24"/>
              </w:rPr>
              <w:t>序号</w:t>
            </w:r>
          </w:p>
        </w:tc>
        <w:tc>
          <w:tcPr>
            <w:tcW w:w="563" w:type="dxa"/>
            <w:vMerge w:val="restart"/>
            <w:vAlign w:val="center"/>
          </w:tcPr>
          <w:p>
            <w:pPr>
              <w:pStyle w:val="19"/>
              <w:spacing w:line="360" w:lineRule="auto"/>
              <w:jc w:val="center"/>
              <w:rPr>
                <w:rFonts w:ascii="宋体"/>
                <w:sz w:val="24"/>
              </w:rPr>
            </w:pPr>
            <w:r>
              <w:rPr>
                <w:rFonts w:hint="eastAsia" w:ascii="宋体"/>
                <w:sz w:val="24"/>
              </w:rPr>
              <w:t>物料编码</w:t>
            </w:r>
          </w:p>
        </w:tc>
        <w:tc>
          <w:tcPr>
            <w:tcW w:w="567" w:type="dxa"/>
            <w:vMerge w:val="restart"/>
            <w:vAlign w:val="center"/>
          </w:tcPr>
          <w:p>
            <w:pPr>
              <w:pStyle w:val="19"/>
              <w:spacing w:line="360" w:lineRule="auto"/>
              <w:jc w:val="center"/>
              <w:rPr>
                <w:rFonts w:ascii="宋体"/>
                <w:sz w:val="24"/>
              </w:rPr>
            </w:pPr>
            <w:r>
              <w:rPr>
                <w:rFonts w:hint="eastAsia" w:ascii="宋体"/>
                <w:sz w:val="24"/>
              </w:rPr>
              <w:t>物料描述</w:t>
            </w:r>
          </w:p>
        </w:tc>
        <w:tc>
          <w:tcPr>
            <w:tcW w:w="708" w:type="dxa"/>
            <w:vMerge w:val="restart"/>
            <w:vAlign w:val="center"/>
          </w:tcPr>
          <w:p>
            <w:pPr>
              <w:pStyle w:val="19"/>
              <w:spacing w:line="360" w:lineRule="auto"/>
              <w:jc w:val="center"/>
              <w:rPr>
                <w:rFonts w:ascii="宋体"/>
                <w:sz w:val="24"/>
              </w:rPr>
            </w:pPr>
            <w:r>
              <w:rPr>
                <w:rFonts w:hint="eastAsia" w:ascii="宋体"/>
                <w:sz w:val="24"/>
              </w:rPr>
              <w:t>技术参数</w:t>
            </w:r>
          </w:p>
        </w:tc>
        <w:tc>
          <w:tcPr>
            <w:tcW w:w="709" w:type="dxa"/>
            <w:vMerge w:val="restart"/>
            <w:vAlign w:val="center"/>
          </w:tcPr>
          <w:p>
            <w:pPr>
              <w:pStyle w:val="19"/>
              <w:spacing w:line="360" w:lineRule="auto"/>
              <w:rPr>
                <w:rFonts w:ascii="宋体"/>
                <w:color w:val="00B0F0"/>
                <w:sz w:val="24"/>
              </w:rPr>
            </w:pPr>
            <w:r>
              <w:rPr>
                <w:rFonts w:hint="eastAsia" w:ascii="宋体"/>
                <w:color w:val="00B0F0"/>
                <w:sz w:val="24"/>
              </w:rPr>
              <w:t>数量</w:t>
            </w:r>
          </w:p>
        </w:tc>
        <w:tc>
          <w:tcPr>
            <w:tcW w:w="567" w:type="dxa"/>
            <w:vMerge w:val="restart"/>
            <w:vAlign w:val="center"/>
          </w:tcPr>
          <w:p>
            <w:pPr>
              <w:pStyle w:val="19"/>
              <w:spacing w:line="360" w:lineRule="auto"/>
              <w:jc w:val="center"/>
              <w:rPr>
                <w:rFonts w:ascii="宋体"/>
                <w:color w:val="00B0F0"/>
                <w:sz w:val="24"/>
              </w:rPr>
            </w:pPr>
            <w:r>
              <w:rPr>
                <w:rFonts w:hint="eastAsia" w:ascii="宋体"/>
                <w:color w:val="00B0F0"/>
                <w:sz w:val="24"/>
              </w:rPr>
              <w:t>单位</w:t>
            </w:r>
          </w:p>
        </w:tc>
        <w:tc>
          <w:tcPr>
            <w:tcW w:w="2693" w:type="dxa"/>
            <w:gridSpan w:val="2"/>
            <w:vAlign w:val="center"/>
          </w:tcPr>
          <w:p>
            <w:pPr>
              <w:pStyle w:val="19"/>
              <w:spacing w:line="360" w:lineRule="auto"/>
              <w:jc w:val="center"/>
              <w:rPr>
                <w:rFonts w:ascii="宋体"/>
                <w:color w:val="00B0F0"/>
                <w:sz w:val="24"/>
              </w:rPr>
            </w:pPr>
            <w:r>
              <w:rPr>
                <w:rFonts w:hint="eastAsia" w:ascii="宋体"/>
                <w:sz w:val="24"/>
              </w:rPr>
              <w:t>报价</w:t>
            </w:r>
            <w:r>
              <w:rPr>
                <w:rFonts w:ascii="宋体"/>
                <w:sz w:val="24"/>
              </w:rPr>
              <w:t>方</w:t>
            </w:r>
          </w:p>
        </w:tc>
        <w:tc>
          <w:tcPr>
            <w:tcW w:w="709" w:type="dxa"/>
            <w:vMerge w:val="restart"/>
            <w:vAlign w:val="center"/>
          </w:tcPr>
          <w:p>
            <w:pPr>
              <w:pStyle w:val="19"/>
              <w:spacing w:line="360" w:lineRule="auto"/>
              <w:jc w:val="center"/>
              <w:rPr>
                <w:rFonts w:ascii="宋体"/>
                <w:sz w:val="24"/>
              </w:rPr>
            </w:pPr>
            <w:r>
              <w:rPr>
                <w:rFonts w:hint="eastAsia" w:ascii="宋体"/>
                <w:sz w:val="24"/>
              </w:rPr>
              <w:t>交货时间</w:t>
            </w:r>
          </w:p>
        </w:tc>
        <w:tc>
          <w:tcPr>
            <w:tcW w:w="709" w:type="dxa"/>
            <w:vMerge w:val="restart"/>
            <w:vAlign w:val="center"/>
          </w:tcPr>
          <w:p>
            <w:pPr>
              <w:pStyle w:val="19"/>
              <w:spacing w:line="360" w:lineRule="auto"/>
              <w:jc w:val="center"/>
              <w:rPr>
                <w:rFonts w:ascii="宋体"/>
                <w:sz w:val="24"/>
              </w:rPr>
            </w:pPr>
            <w:r>
              <w:rPr>
                <w:rFonts w:hint="eastAsia" w:ascii="宋体"/>
                <w:sz w:val="24"/>
              </w:rPr>
              <w:t>交货地点</w:t>
            </w:r>
          </w:p>
        </w:tc>
        <w:tc>
          <w:tcPr>
            <w:tcW w:w="1134" w:type="dxa"/>
            <w:vMerge w:val="restart"/>
            <w:vAlign w:val="center"/>
          </w:tcPr>
          <w:p>
            <w:pPr>
              <w:pStyle w:val="19"/>
              <w:spacing w:line="360" w:lineRule="auto"/>
              <w:rPr>
                <w:rFonts w:ascii="宋体"/>
                <w:sz w:val="24"/>
              </w:rPr>
            </w:pPr>
            <w:r>
              <w:rPr>
                <w:rFonts w:hint="eastAsia" w:ascii="宋体"/>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0" w:hRule="atLeast"/>
        </w:trPr>
        <w:tc>
          <w:tcPr>
            <w:tcW w:w="538" w:type="dxa"/>
            <w:vMerge w:val="continue"/>
            <w:vAlign w:val="center"/>
          </w:tcPr>
          <w:p/>
        </w:tc>
        <w:tc>
          <w:tcPr>
            <w:tcW w:w="563" w:type="dxa"/>
            <w:vMerge w:val="continue"/>
            <w:vAlign w:val="center"/>
          </w:tcPr>
          <w:p/>
        </w:tc>
        <w:tc>
          <w:tcPr>
            <w:tcW w:w="567" w:type="dxa"/>
            <w:vMerge w:val="continue"/>
            <w:vAlign w:val="center"/>
          </w:tcPr>
          <w:p/>
        </w:tc>
        <w:tc>
          <w:tcPr>
            <w:tcW w:w="708" w:type="dxa"/>
            <w:vMerge w:val="continue"/>
            <w:vAlign w:val="center"/>
          </w:tcPr>
          <w:p/>
        </w:tc>
        <w:tc>
          <w:tcPr>
            <w:tcW w:w="709" w:type="dxa"/>
            <w:vMerge w:val="continue"/>
            <w:vAlign w:val="center"/>
          </w:tcPr>
          <w:p/>
        </w:tc>
        <w:tc>
          <w:tcPr>
            <w:tcW w:w="567" w:type="dxa"/>
            <w:vMerge w:val="continue"/>
            <w:vAlign w:val="center"/>
          </w:tcPr>
          <w:p/>
        </w:tc>
        <w:tc>
          <w:tcPr>
            <w:tcW w:w="1276" w:type="dxa"/>
            <w:vAlign w:val="center"/>
          </w:tcPr>
          <w:p>
            <w:pPr>
              <w:pStyle w:val="19"/>
              <w:spacing w:line="360" w:lineRule="auto"/>
              <w:jc w:val="center"/>
              <w:rPr>
                <w:rFonts w:ascii="宋体"/>
                <w:b/>
                <w:color w:val="00B0F0"/>
                <w:sz w:val="24"/>
              </w:rPr>
            </w:pPr>
            <w:r>
              <w:rPr>
                <w:rFonts w:hint="eastAsia" w:ascii="宋体"/>
                <w:b/>
                <w:color w:val="00B0F0"/>
                <w:sz w:val="24"/>
              </w:rPr>
              <w:t>含税报</w:t>
            </w:r>
            <w:r>
              <w:rPr>
                <w:rFonts w:ascii="宋体"/>
                <w:b/>
                <w:color w:val="00B0F0"/>
                <w:sz w:val="24"/>
              </w:rPr>
              <w:t>单价</w:t>
            </w:r>
          </w:p>
        </w:tc>
        <w:tc>
          <w:tcPr>
            <w:tcW w:w="1417" w:type="dxa"/>
            <w:vAlign w:val="center"/>
          </w:tcPr>
          <w:p>
            <w:pPr>
              <w:pStyle w:val="19"/>
              <w:spacing w:line="360" w:lineRule="auto"/>
              <w:jc w:val="center"/>
              <w:rPr>
                <w:rFonts w:ascii="宋体"/>
                <w:b/>
                <w:color w:val="00B0F0"/>
                <w:sz w:val="24"/>
              </w:rPr>
            </w:pPr>
            <w:r>
              <w:rPr>
                <w:rFonts w:hint="eastAsia" w:ascii="宋体"/>
                <w:b/>
                <w:color w:val="00B0F0"/>
                <w:sz w:val="24"/>
              </w:rPr>
              <w:t>含税报总</w:t>
            </w:r>
            <w:r>
              <w:rPr>
                <w:rFonts w:ascii="宋体"/>
                <w:b/>
                <w:color w:val="00B0F0"/>
                <w:sz w:val="24"/>
              </w:rPr>
              <w:t>价</w:t>
            </w:r>
          </w:p>
        </w:tc>
        <w:tc>
          <w:tcPr>
            <w:tcW w:w="709" w:type="dxa"/>
            <w:vMerge w:val="continue"/>
            <w:vAlign w:val="center"/>
          </w:tcPr>
          <w:p/>
        </w:tc>
        <w:tc>
          <w:tcPr>
            <w:tcW w:w="709" w:type="dxa"/>
            <w:vMerge w:val="continue"/>
            <w:vAlign w:val="center"/>
          </w:tcPr>
          <w:p/>
        </w:tc>
        <w:tc>
          <w:tcPr>
            <w:tcW w:w="1134" w:type="dxa"/>
            <w:vMerge w:val="continue"/>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8" w:type="dxa"/>
          </w:tcPr>
          <w:p>
            <w:pPr>
              <w:pStyle w:val="19"/>
              <w:spacing w:line="360" w:lineRule="auto"/>
              <w:rPr>
                <w:rFonts w:ascii="宋体"/>
                <w:szCs w:val="21"/>
              </w:rPr>
            </w:pPr>
            <w:r>
              <w:rPr>
                <w:rFonts w:hint="eastAsia" w:ascii="宋体"/>
                <w:szCs w:val="21"/>
              </w:rPr>
              <w:t>1</w:t>
            </w:r>
          </w:p>
        </w:tc>
        <w:tc>
          <w:tcPr>
            <w:tcW w:w="563" w:type="dxa"/>
          </w:tcPr>
          <w:p>
            <w:r>
              <w:t>1050600309</w:t>
            </w:r>
          </w:p>
        </w:tc>
        <w:tc>
          <w:tcPr>
            <w:tcW w:w="567" w:type="dxa"/>
          </w:tcPr>
          <w:p>
            <w:r>
              <w:rPr>
                <w:rFonts w:hint="eastAsia"/>
              </w:rPr>
              <w:t>路面修补材料</w:t>
            </w:r>
          </w:p>
        </w:tc>
        <w:tc>
          <w:tcPr>
            <w:tcW w:w="708" w:type="dxa"/>
          </w:tcPr>
          <w:p>
            <w:r>
              <w:rPr>
                <w:rFonts w:hint="eastAsia"/>
              </w:rPr>
              <w:t>WK-010 25KG/BAG</w:t>
            </w:r>
          </w:p>
        </w:tc>
        <w:tc>
          <w:tcPr>
            <w:tcW w:w="709" w:type="dxa"/>
          </w:tcPr>
          <w:p>
            <w:r>
              <w:t>13500</w:t>
            </w:r>
          </w:p>
        </w:tc>
        <w:tc>
          <w:tcPr>
            <w:tcW w:w="567" w:type="dxa"/>
          </w:tcPr>
          <w:p>
            <w:pPr>
              <w:pStyle w:val="19"/>
              <w:spacing w:line="360" w:lineRule="auto"/>
              <w:rPr>
                <w:rFonts w:ascii="宋体"/>
                <w:szCs w:val="21"/>
              </w:rPr>
            </w:pPr>
            <w:r>
              <w:rPr>
                <w:rFonts w:ascii="宋体"/>
                <w:szCs w:val="21"/>
              </w:rPr>
              <w:t>KG</w:t>
            </w:r>
          </w:p>
        </w:tc>
        <w:tc>
          <w:tcPr>
            <w:tcW w:w="1276" w:type="dxa"/>
          </w:tcPr>
          <w:p>
            <w:pPr>
              <w:pStyle w:val="19"/>
              <w:spacing w:line="360" w:lineRule="auto"/>
              <w:rPr>
                <w:rFonts w:ascii="宋体"/>
                <w:szCs w:val="21"/>
              </w:rPr>
            </w:pPr>
          </w:p>
        </w:tc>
        <w:tc>
          <w:tcPr>
            <w:tcW w:w="1417" w:type="dxa"/>
          </w:tcPr>
          <w:p>
            <w:pPr>
              <w:pStyle w:val="19"/>
              <w:spacing w:line="360" w:lineRule="auto"/>
              <w:rPr>
                <w:rFonts w:ascii="宋体"/>
                <w:szCs w:val="21"/>
              </w:rPr>
            </w:pPr>
          </w:p>
        </w:tc>
        <w:tc>
          <w:tcPr>
            <w:tcW w:w="709" w:type="dxa"/>
          </w:tcPr>
          <w:p>
            <w:r>
              <w:rPr>
                <w:rFonts w:hint="eastAsia"/>
              </w:rPr>
              <w:t>合同生效后30日</w:t>
            </w:r>
          </w:p>
        </w:tc>
        <w:tc>
          <w:tcPr>
            <w:tcW w:w="709" w:type="dxa"/>
          </w:tcPr>
          <w:p>
            <w:r>
              <w:rPr>
                <w:rFonts w:hint="eastAsia"/>
              </w:rPr>
              <w:t>上都电厂物资站</w:t>
            </w:r>
          </w:p>
        </w:tc>
        <w:tc>
          <w:tcPr>
            <w:tcW w:w="1134" w:type="dxa"/>
          </w:tcPr>
          <w:p>
            <w:pPr>
              <w:pStyle w:val="19"/>
              <w:spacing w:line="360" w:lineRule="auto"/>
              <w:rPr>
                <w:rFonts w:asci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8" w:type="dxa"/>
          </w:tcPr>
          <w:p>
            <w:pPr>
              <w:pStyle w:val="19"/>
              <w:spacing w:line="360" w:lineRule="auto"/>
              <w:rPr>
                <w:rFonts w:hint="eastAsia" w:ascii="宋体" w:eastAsia="宋体"/>
                <w:szCs w:val="21"/>
                <w:lang w:val="en-US" w:eastAsia="zh-CN"/>
              </w:rPr>
            </w:pPr>
            <w:r>
              <w:rPr>
                <w:rFonts w:hint="eastAsia" w:ascii="宋体"/>
                <w:szCs w:val="21"/>
                <w:lang w:val="en-US" w:eastAsia="zh-CN"/>
              </w:rPr>
              <w:t>2</w:t>
            </w:r>
          </w:p>
        </w:tc>
        <w:tc>
          <w:tcPr>
            <w:tcW w:w="563" w:type="dxa"/>
          </w:tcPr>
          <w:p>
            <w:r>
              <w:t>1050600265</w:t>
            </w:r>
          </w:p>
        </w:tc>
        <w:tc>
          <w:tcPr>
            <w:tcW w:w="567" w:type="dxa"/>
          </w:tcPr>
          <w:p>
            <w:r>
              <w:rPr>
                <w:rFonts w:hint="eastAsia"/>
              </w:rPr>
              <w:t>混凝土</w:t>
            </w:r>
          </w:p>
        </w:tc>
        <w:tc>
          <w:tcPr>
            <w:tcW w:w="708" w:type="dxa"/>
          </w:tcPr>
          <w:p>
            <w:r>
              <w:rPr>
                <w:rFonts w:hint="eastAsia"/>
              </w:rPr>
              <w:t>C25</w:t>
            </w:r>
          </w:p>
        </w:tc>
        <w:tc>
          <w:tcPr>
            <w:tcW w:w="709" w:type="dxa"/>
          </w:tcPr>
          <w:p>
            <w:r>
              <w:rPr>
                <w:rFonts w:hint="eastAsia"/>
              </w:rPr>
              <w:t>50</w:t>
            </w:r>
          </w:p>
        </w:tc>
        <w:tc>
          <w:tcPr>
            <w:tcW w:w="567" w:type="dxa"/>
          </w:tcPr>
          <w:p>
            <w:pPr>
              <w:pStyle w:val="19"/>
              <w:spacing w:line="360" w:lineRule="auto"/>
              <w:rPr>
                <w:rFonts w:ascii="宋体"/>
                <w:szCs w:val="21"/>
              </w:rPr>
            </w:pPr>
            <w:r>
              <w:rPr>
                <w:rFonts w:ascii="宋体"/>
                <w:szCs w:val="21"/>
              </w:rPr>
              <w:t>M3</w:t>
            </w:r>
          </w:p>
        </w:tc>
        <w:tc>
          <w:tcPr>
            <w:tcW w:w="1276" w:type="dxa"/>
          </w:tcPr>
          <w:p>
            <w:pPr>
              <w:pStyle w:val="19"/>
              <w:spacing w:line="360" w:lineRule="auto"/>
              <w:rPr>
                <w:rFonts w:ascii="宋体"/>
                <w:szCs w:val="21"/>
              </w:rPr>
            </w:pPr>
          </w:p>
        </w:tc>
        <w:tc>
          <w:tcPr>
            <w:tcW w:w="1417" w:type="dxa"/>
          </w:tcPr>
          <w:p>
            <w:pPr>
              <w:pStyle w:val="19"/>
              <w:spacing w:line="360" w:lineRule="auto"/>
              <w:rPr>
                <w:rFonts w:ascii="宋体"/>
                <w:szCs w:val="21"/>
              </w:rPr>
            </w:pPr>
          </w:p>
        </w:tc>
        <w:tc>
          <w:tcPr>
            <w:tcW w:w="709" w:type="dxa"/>
          </w:tcPr>
          <w:p>
            <w:r>
              <w:rPr>
                <w:rFonts w:hint="eastAsia"/>
              </w:rPr>
              <w:t>合同生效后30日</w:t>
            </w:r>
          </w:p>
        </w:tc>
        <w:tc>
          <w:tcPr>
            <w:tcW w:w="709" w:type="dxa"/>
          </w:tcPr>
          <w:p>
            <w:r>
              <w:rPr>
                <w:rFonts w:hint="eastAsia"/>
              </w:rPr>
              <w:t>上都电厂物资站</w:t>
            </w:r>
          </w:p>
        </w:tc>
        <w:tc>
          <w:tcPr>
            <w:tcW w:w="1134" w:type="dxa"/>
          </w:tcPr>
          <w:p>
            <w:pPr>
              <w:pStyle w:val="19"/>
              <w:spacing w:line="360" w:lineRule="auto"/>
              <w:rPr>
                <w:rFonts w:asci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8" w:type="dxa"/>
          </w:tcPr>
          <w:p>
            <w:pPr>
              <w:pStyle w:val="19"/>
              <w:spacing w:line="360" w:lineRule="auto"/>
              <w:rPr>
                <w:rFonts w:hint="eastAsia" w:ascii="宋体" w:eastAsia="宋体"/>
                <w:szCs w:val="21"/>
                <w:lang w:val="en-US" w:eastAsia="zh-CN"/>
              </w:rPr>
            </w:pPr>
            <w:r>
              <w:rPr>
                <w:rFonts w:hint="eastAsia" w:ascii="宋体"/>
                <w:szCs w:val="21"/>
                <w:lang w:val="en-US" w:eastAsia="zh-CN"/>
              </w:rPr>
              <w:t>3</w:t>
            </w:r>
          </w:p>
        </w:tc>
        <w:tc>
          <w:tcPr>
            <w:tcW w:w="563" w:type="dxa"/>
          </w:tcPr>
          <w:p>
            <w:r>
              <w:t>1050600053</w:t>
            </w:r>
          </w:p>
        </w:tc>
        <w:tc>
          <w:tcPr>
            <w:tcW w:w="567" w:type="dxa"/>
          </w:tcPr>
          <w:p>
            <w:r>
              <w:rPr>
                <w:rFonts w:hint="eastAsia"/>
              </w:rPr>
              <w:t>大理石　</w:t>
            </w:r>
          </w:p>
        </w:tc>
        <w:tc>
          <w:tcPr>
            <w:tcW w:w="708" w:type="dxa"/>
          </w:tcPr>
          <w:p>
            <w:pPr>
              <w:rPr>
                <w:rFonts w:asciiTheme="minorEastAsia" w:hAnsiTheme="minorEastAsia"/>
              </w:rPr>
            </w:pPr>
            <w:r>
              <w:rPr>
                <w:rFonts w:hint="eastAsia"/>
              </w:rPr>
              <w:t>600×600</w:t>
            </w:r>
          </w:p>
        </w:tc>
        <w:tc>
          <w:tcPr>
            <w:tcW w:w="709" w:type="dxa"/>
          </w:tcPr>
          <w:p>
            <w:r>
              <w:rPr>
                <w:rFonts w:hint="eastAsia"/>
              </w:rPr>
              <w:t>400</w:t>
            </w:r>
          </w:p>
        </w:tc>
        <w:tc>
          <w:tcPr>
            <w:tcW w:w="567" w:type="dxa"/>
          </w:tcPr>
          <w:p>
            <w:pPr>
              <w:pStyle w:val="19"/>
              <w:spacing w:line="360" w:lineRule="auto"/>
              <w:rPr>
                <w:rFonts w:ascii="宋体"/>
                <w:szCs w:val="21"/>
              </w:rPr>
            </w:pPr>
            <w:r>
              <w:rPr>
                <w:rFonts w:ascii="宋体"/>
                <w:szCs w:val="21"/>
              </w:rPr>
              <w:t>PC</w:t>
            </w:r>
          </w:p>
        </w:tc>
        <w:tc>
          <w:tcPr>
            <w:tcW w:w="1276" w:type="dxa"/>
          </w:tcPr>
          <w:p>
            <w:pPr>
              <w:pStyle w:val="19"/>
              <w:spacing w:line="360" w:lineRule="auto"/>
              <w:rPr>
                <w:rFonts w:ascii="宋体"/>
                <w:szCs w:val="21"/>
              </w:rPr>
            </w:pPr>
          </w:p>
        </w:tc>
        <w:tc>
          <w:tcPr>
            <w:tcW w:w="1417" w:type="dxa"/>
          </w:tcPr>
          <w:p>
            <w:pPr>
              <w:pStyle w:val="19"/>
              <w:spacing w:line="360" w:lineRule="auto"/>
              <w:rPr>
                <w:rFonts w:ascii="宋体"/>
                <w:szCs w:val="21"/>
              </w:rPr>
            </w:pPr>
          </w:p>
        </w:tc>
        <w:tc>
          <w:tcPr>
            <w:tcW w:w="709" w:type="dxa"/>
          </w:tcPr>
          <w:p>
            <w:r>
              <w:rPr>
                <w:rFonts w:hint="eastAsia"/>
              </w:rPr>
              <w:t>合同生效后30日</w:t>
            </w:r>
          </w:p>
        </w:tc>
        <w:tc>
          <w:tcPr>
            <w:tcW w:w="709" w:type="dxa"/>
          </w:tcPr>
          <w:p>
            <w:r>
              <w:rPr>
                <w:rFonts w:hint="eastAsia"/>
              </w:rPr>
              <w:t>上都电厂物资站</w:t>
            </w:r>
          </w:p>
        </w:tc>
        <w:tc>
          <w:tcPr>
            <w:tcW w:w="1134" w:type="dxa"/>
          </w:tcPr>
          <w:p>
            <w:pPr>
              <w:pStyle w:val="19"/>
              <w:spacing w:line="360" w:lineRule="auto"/>
              <w:rPr>
                <w:rFonts w:asci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8" w:type="dxa"/>
          </w:tcPr>
          <w:p>
            <w:pPr>
              <w:pStyle w:val="19"/>
              <w:spacing w:line="360" w:lineRule="auto"/>
              <w:rPr>
                <w:rFonts w:hint="eastAsia" w:ascii="宋体" w:eastAsia="宋体"/>
                <w:szCs w:val="21"/>
                <w:lang w:val="en-US" w:eastAsia="zh-CN"/>
              </w:rPr>
            </w:pPr>
            <w:r>
              <w:rPr>
                <w:rFonts w:hint="eastAsia" w:ascii="宋体"/>
                <w:szCs w:val="21"/>
                <w:lang w:val="en-US" w:eastAsia="zh-CN"/>
              </w:rPr>
              <w:t>4</w:t>
            </w:r>
          </w:p>
        </w:tc>
        <w:tc>
          <w:tcPr>
            <w:tcW w:w="563" w:type="dxa"/>
          </w:tcPr>
          <w:p>
            <w:r>
              <w:t>1050200003</w:t>
            </w:r>
          </w:p>
        </w:tc>
        <w:tc>
          <w:tcPr>
            <w:tcW w:w="567" w:type="dxa"/>
          </w:tcPr>
          <w:p>
            <w:r>
              <w:rPr>
                <w:rFonts w:hint="eastAsia"/>
              </w:rPr>
              <w:t>水泥</w:t>
            </w:r>
          </w:p>
        </w:tc>
        <w:tc>
          <w:tcPr>
            <w:tcW w:w="708" w:type="dxa"/>
          </w:tcPr>
          <w:p>
            <w:r>
              <w:rPr>
                <w:rFonts w:hint="eastAsia"/>
              </w:rPr>
              <w:t>#425</w:t>
            </w:r>
          </w:p>
        </w:tc>
        <w:tc>
          <w:tcPr>
            <w:tcW w:w="709" w:type="dxa"/>
          </w:tcPr>
          <w:p>
            <w:r>
              <w:rPr>
                <w:rFonts w:hint="eastAsia"/>
              </w:rPr>
              <w:t>10000</w:t>
            </w:r>
          </w:p>
        </w:tc>
        <w:tc>
          <w:tcPr>
            <w:tcW w:w="567" w:type="dxa"/>
          </w:tcPr>
          <w:p>
            <w:pPr>
              <w:pStyle w:val="19"/>
              <w:spacing w:line="360" w:lineRule="auto"/>
              <w:rPr>
                <w:rFonts w:ascii="宋体"/>
                <w:szCs w:val="21"/>
              </w:rPr>
            </w:pPr>
            <w:r>
              <w:rPr>
                <w:rFonts w:ascii="宋体"/>
                <w:szCs w:val="21"/>
              </w:rPr>
              <w:t>KG</w:t>
            </w:r>
          </w:p>
        </w:tc>
        <w:tc>
          <w:tcPr>
            <w:tcW w:w="1276" w:type="dxa"/>
          </w:tcPr>
          <w:p>
            <w:pPr>
              <w:pStyle w:val="19"/>
              <w:spacing w:line="360" w:lineRule="auto"/>
              <w:rPr>
                <w:rFonts w:ascii="宋体"/>
                <w:szCs w:val="21"/>
              </w:rPr>
            </w:pPr>
          </w:p>
        </w:tc>
        <w:tc>
          <w:tcPr>
            <w:tcW w:w="1417" w:type="dxa"/>
          </w:tcPr>
          <w:p>
            <w:pPr>
              <w:pStyle w:val="19"/>
              <w:spacing w:line="360" w:lineRule="auto"/>
              <w:rPr>
                <w:rFonts w:ascii="宋体"/>
                <w:szCs w:val="21"/>
              </w:rPr>
            </w:pPr>
          </w:p>
        </w:tc>
        <w:tc>
          <w:tcPr>
            <w:tcW w:w="709" w:type="dxa"/>
          </w:tcPr>
          <w:p>
            <w:r>
              <w:rPr>
                <w:rFonts w:hint="eastAsia"/>
              </w:rPr>
              <w:t>合同生效后30日</w:t>
            </w:r>
          </w:p>
        </w:tc>
        <w:tc>
          <w:tcPr>
            <w:tcW w:w="709" w:type="dxa"/>
          </w:tcPr>
          <w:p>
            <w:r>
              <w:rPr>
                <w:rFonts w:hint="eastAsia"/>
              </w:rPr>
              <w:t>上都电厂物资站</w:t>
            </w:r>
          </w:p>
        </w:tc>
        <w:tc>
          <w:tcPr>
            <w:tcW w:w="1134" w:type="dxa"/>
          </w:tcPr>
          <w:p>
            <w:pPr>
              <w:pStyle w:val="19"/>
              <w:spacing w:line="360" w:lineRule="auto"/>
              <w:rPr>
                <w:rFonts w:asci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8" w:type="dxa"/>
          </w:tcPr>
          <w:p>
            <w:pPr>
              <w:pStyle w:val="19"/>
              <w:spacing w:line="360" w:lineRule="auto"/>
              <w:rPr>
                <w:rFonts w:hint="eastAsia" w:ascii="宋体" w:eastAsia="宋体"/>
                <w:szCs w:val="21"/>
                <w:lang w:val="en-US" w:eastAsia="zh-CN"/>
              </w:rPr>
            </w:pPr>
            <w:r>
              <w:rPr>
                <w:rFonts w:hint="eastAsia" w:ascii="宋体"/>
                <w:szCs w:val="21"/>
                <w:lang w:val="en-US" w:eastAsia="zh-CN"/>
              </w:rPr>
              <w:t>5</w:t>
            </w:r>
          </w:p>
        </w:tc>
        <w:tc>
          <w:tcPr>
            <w:tcW w:w="563" w:type="dxa"/>
          </w:tcPr>
          <w:p>
            <w:r>
              <w:t>1050600341</w:t>
            </w:r>
          </w:p>
        </w:tc>
        <w:tc>
          <w:tcPr>
            <w:tcW w:w="567" w:type="dxa"/>
          </w:tcPr>
          <w:p>
            <w:r>
              <w:rPr>
                <w:rFonts w:hint="eastAsia"/>
              </w:rPr>
              <w:t xml:space="preserve">大理石 </w:t>
            </w:r>
          </w:p>
        </w:tc>
        <w:tc>
          <w:tcPr>
            <w:tcW w:w="708" w:type="dxa"/>
          </w:tcPr>
          <w:p>
            <w:r>
              <w:rPr>
                <w:rFonts w:hint="eastAsia"/>
              </w:rPr>
              <w:t>600×300×20</w:t>
            </w:r>
          </w:p>
        </w:tc>
        <w:tc>
          <w:tcPr>
            <w:tcW w:w="709" w:type="dxa"/>
          </w:tcPr>
          <w:p>
            <w:r>
              <w:rPr>
                <w:rFonts w:hint="eastAsia"/>
              </w:rPr>
              <w:t>450</w:t>
            </w:r>
          </w:p>
        </w:tc>
        <w:tc>
          <w:tcPr>
            <w:tcW w:w="567" w:type="dxa"/>
          </w:tcPr>
          <w:p>
            <w:pPr>
              <w:pStyle w:val="19"/>
              <w:spacing w:line="360" w:lineRule="auto"/>
              <w:rPr>
                <w:rFonts w:ascii="宋体"/>
                <w:szCs w:val="21"/>
              </w:rPr>
            </w:pPr>
            <w:r>
              <w:rPr>
                <w:rFonts w:ascii="宋体"/>
                <w:szCs w:val="21"/>
              </w:rPr>
              <w:t>PC</w:t>
            </w:r>
          </w:p>
        </w:tc>
        <w:tc>
          <w:tcPr>
            <w:tcW w:w="1276" w:type="dxa"/>
          </w:tcPr>
          <w:p>
            <w:pPr>
              <w:pStyle w:val="19"/>
              <w:spacing w:line="360" w:lineRule="auto"/>
              <w:rPr>
                <w:rFonts w:ascii="宋体"/>
                <w:szCs w:val="21"/>
              </w:rPr>
            </w:pPr>
          </w:p>
        </w:tc>
        <w:tc>
          <w:tcPr>
            <w:tcW w:w="1417" w:type="dxa"/>
          </w:tcPr>
          <w:p>
            <w:pPr>
              <w:pStyle w:val="19"/>
              <w:spacing w:line="360" w:lineRule="auto"/>
              <w:rPr>
                <w:rFonts w:ascii="宋体"/>
                <w:szCs w:val="21"/>
              </w:rPr>
            </w:pPr>
          </w:p>
        </w:tc>
        <w:tc>
          <w:tcPr>
            <w:tcW w:w="709" w:type="dxa"/>
          </w:tcPr>
          <w:p>
            <w:r>
              <w:rPr>
                <w:rFonts w:hint="eastAsia"/>
              </w:rPr>
              <w:t>合同生效后30日</w:t>
            </w:r>
          </w:p>
        </w:tc>
        <w:tc>
          <w:tcPr>
            <w:tcW w:w="709" w:type="dxa"/>
          </w:tcPr>
          <w:p>
            <w:r>
              <w:rPr>
                <w:rFonts w:hint="eastAsia"/>
              </w:rPr>
              <w:t>上都电厂物资站</w:t>
            </w:r>
          </w:p>
        </w:tc>
        <w:tc>
          <w:tcPr>
            <w:tcW w:w="1134" w:type="dxa"/>
          </w:tcPr>
          <w:p>
            <w:pPr>
              <w:pStyle w:val="19"/>
              <w:spacing w:line="360" w:lineRule="auto"/>
              <w:rPr>
                <w:rFonts w:asci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8" w:type="dxa"/>
          </w:tcPr>
          <w:p>
            <w:pPr>
              <w:pStyle w:val="19"/>
              <w:spacing w:line="360" w:lineRule="auto"/>
              <w:rPr>
                <w:rFonts w:hint="eastAsia" w:ascii="宋体" w:eastAsia="宋体"/>
                <w:szCs w:val="21"/>
                <w:lang w:val="en-US" w:eastAsia="zh-CN"/>
              </w:rPr>
            </w:pPr>
            <w:r>
              <w:rPr>
                <w:rFonts w:hint="eastAsia" w:ascii="宋体"/>
                <w:szCs w:val="21"/>
                <w:lang w:val="en-US" w:eastAsia="zh-CN"/>
              </w:rPr>
              <w:t>6</w:t>
            </w:r>
          </w:p>
        </w:tc>
        <w:tc>
          <w:tcPr>
            <w:tcW w:w="563" w:type="dxa"/>
          </w:tcPr>
          <w:p>
            <w:r>
              <w:t>1050600342</w:t>
            </w:r>
          </w:p>
        </w:tc>
        <w:tc>
          <w:tcPr>
            <w:tcW w:w="567" w:type="dxa"/>
          </w:tcPr>
          <w:p>
            <w:r>
              <w:rPr>
                <w:rFonts w:hint="eastAsia"/>
              </w:rPr>
              <w:t>大理石</w:t>
            </w:r>
          </w:p>
        </w:tc>
        <w:tc>
          <w:tcPr>
            <w:tcW w:w="708" w:type="dxa"/>
          </w:tcPr>
          <w:p>
            <w:r>
              <w:rPr>
                <w:rFonts w:hint="eastAsia"/>
              </w:rPr>
              <w:t>600×400×20</w:t>
            </w:r>
          </w:p>
        </w:tc>
        <w:tc>
          <w:tcPr>
            <w:tcW w:w="709" w:type="dxa"/>
          </w:tcPr>
          <w:p>
            <w:r>
              <w:rPr>
                <w:rFonts w:hint="eastAsia"/>
              </w:rPr>
              <w:t>10</w:t>
            </w:r>
          </w:p>
        </w:tc>
        <w:tc>
          <w:tcPr>
            <w:tcW w:w="567" w:type="dxa"/>
          </w:tcPr>
          <w:p>
            <w:pPr>
              <w:pStyle w:val="19"/>
              <w:spacing w:line="360" w:lineRule="auto"/>
              <w:rPr>
                <w:rFonts w:ascii="宋体"/>
                <w:szCs w:val="21"/>
              </w:rPr>
            </w:pPr>
            <w:r>
              <w:rPr>
                <w:rFonts w:ascii="宋体"/>
                <w:szCs w:val="21"/>
              </w:rPr>
              <w:t>PC</w:t>
            </w:r>
          </w:p>
        </w:tc>
        <w:tc>
          <w:tcPr>
            <w:tcW w:w="1276" w:type="dxa"/>
          </w:tcPr>
          <w:p>
            <w:pPr>
              <w:pStyle w:val="19"/>
              <w:spacing w:line="360" w:lineRule="auto"/>
              <w:rPr>
                <w:rFonts w:ascii="宋体"/>
                <w:szCs w:val="21"/>
              </w:rPr>
            </w:pPr>
          </w:p>
        </w:tc>
        <w:tc>
          <w:tcPr>
            <w:tcW w:w="1417" w:type="dxa"/>
          </w:tcPr>
          <w:p>
            <w:pPr>
              <w:pStyle w:val="19"/>
              <w:spacing w:line="360" w:lineRule="auto"/>
              <w:rPr>
                <w:rFonts w:ascii="宋体"/>
                <w:szCs w:val="21"/>
              </w:rPr>
            </w:pPr>
          </w:p>
        </w:tc>
        <w:tc>
          <w:tcPr>
            <w:tcW w:w="709" w:type="dxa"/>
          </w:tcPr>
          <w:p>
            <w:r>
              <w:rPr>
                <w:rFonts w:hint="eastAsia"/>
              </w:rPr>
              <w:t>合同生效后30日</w:t>
            </w:r>
          </w:p>
        </w:tc>
        <w:tc>
          <w:tcPr>
            <w:tcW w:w="709" w:type="dxa"/>
          </w:tcPr>
          <w:p>
            <w:r>
              <w:rPr>
                <w:rFonts w:hint="eastAsia"/>
              </w:rPr>
              <w:t>上都电厂物资站</w:t>
            </w:r>
          </w:p>
        </w:tc>
        <w:tc>
          <w:tcPr>
            <w:tcW w:w="1134" w:type="dxa"/>
          </w:tcPr>
          <w:p>
            <w:pPr>
              <w:pStyle w:val="19"/>
              <w:spacing w:line="360" w:lineRule="auto"/>
              <w:rPr>
                <w:rFonts w:asci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8" w:type="dxa"/>
          </w:tcPr>
          <w:p>
            <w:pPr>
              <w:pStyle w:val="19"/>
              <w:spacing w:line="360" w:lineRule="auto"/>
              <w:rPr>
                <w:rFonts w:hint="eastAsia" w:ascii="宋体" w:eastAsia="宋体"/>
                <w:szCs w:val="21"/>
                <w:lang w:val="en-US" w:eastAsia="zh-CN"/>
              </w:rPr>
            </w:pPr>
            <w:r>
              <w:rPr>
                <w:rFonts w:hint="eastAsia" w:ascii="宋体"/>
                <w:szCs w:val="21"/>
                <w:lang w:val="en-US" w:eastAsia="zh-CN"/>
              </w:rPr>
              <w:t>7</w:t>
            </w:r>
          </w:p>
        </w:tc>
        <w:tc>
          <w:tcPr>
            <w:tcW w:w="563" w:type="dxa"/>
          </w:tcPr>
          <w:p>
            <w:r>
              <w:t>1050600348</w:t>
            </w:r>
          </w:p>
        </w:tc>
        <w:tc>
          <w:tcPr>
            <w:tcW w:w="567" w:type="dxa"/>
          </w:tcPr>
          <w:p>
            <w:r>
              <w:rPr>
                <w:rFonts w:hint="eastAsia"/>
              </w:rPr>
              <w:t>大理石</w:t>
            </w:r>
          </w:p>
        </w:tc>
        <w:tc>
          <w:tcPr>
            <w:tcW w:w="708" w:type="dxa"/>
          </w:tcPr>
          <w:p>
            <w:r>
              <w:rPr>
                <w:rFonts w:hint="eastAsia"/>
              </w:rPr>
              <w:t>750×600×20</w:t>
            </w:r>
          </w:p>
        </w:tc>
        <w:tc>
          <w:tcPr>
            <w:tcW w:w="709" w:type="dxa"/>
          </w:tcPr>
          <w:p>
            <w:r>
              <w:rPr>
                <w:rFonts w:hint="eastAsia"/>
              </w:rPr>
              <w:t>10</w:t>
            </w:r>
          </w:p>
        </w:tc>
        <w:tc>
          <w:tcPr>
            <w:tcW w:w="567" w:type="dxa"/>
          </w:tcPr>
          <w:p>
            <w:pPr>
              <w:pStyle w:val="19"/>
              <w:spacing w:line="360" w:lineRule="auto"/>
              <w:rPr>
                <w:rFonts w:ascii="宋体"/>
                <w:szCs w:val="21"/>
              </w:rPr>
            </w:pPr>
            <w:r>
              <w:rPr>
                <w:rFonts w:ascii="宋体"/>
                <w:szCs w:val="21"/>
              </w:rPr>
              <w:t>PC</w:t>
            </w:r>
          </w:p>
        </w:tc>
        <w:tc>
          <w:tcPr>
            <w:tcW w:w="1276" w:type="dxa"/>
          </w:tcPr>
          <w:p>
            <w:pPr>
              <w:pStyle w:val="19"/>
              <w:spacing w:line="360" w:lineRule="auto"/>
              <w:rPr>
                <w:rFonts w:ascii="宋体"/>
                <w:szCs w:val="21"/>
              </w:rPr>
            </w:pPr>
          </w:p>
        </w:tc>
        <w:tc>
          <w:tcPr>
            <w:tcW w:w="1417" w:type="dxa"/>
          </w:tcPr>
          <w:p>
            <w:pPr>
              <w:pStyle w:val="19"/>
              <w:spacing w:line="360" w:lineRule="auto"/>
              <w:rPr>
                <w:rFonts w:ascii="宋体"/>
                <w:szCs w:val="21"/>
              </w:rPr>
            </w:pPr>
          </w:p>
        </w:tc>
        <w:tc>
          <w:tcPr>
            <w:tcW w:w="709" w:type="dxa"/>
          </w:tcPr>
          <w:p>
            <w:r>
              <w:rPr>
                <w:rFonts w:hint="eastAsia"/>
              </w:rPr>
              <w:t>合同生效后30日</w:t>
            </w:r>
          </w:p>
        </w:tc>
        <w:tc>
          <w:tcPr>
            <w:tcW w:w="709" w:type="dxa"/>
          </w:tcPr>
          <w:p>
            <w:r>
              <w:rPr>
                <w:rFonts w:hint="eastAsia"/>
              </w:rPr>
              <w:t>上都电厂物资站</w:t>
            </w:r>
          </w:p>
        </w:tc>
        <w:tc>
          <w:tcPr>
            <w:tcW w:w="1134" w:type="dxa"/>
          </w:tcPr>
          <w:p>
            <w:pPr>
              <w:pStyle w:val="19"/>
              <w:spacing w:line="360" w:lineRule="auto"/>
              <w:rPr>
                <w:rFonts w:asci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8" w:type="dxa"/>
          </w:tcPr>
          <w:p>
            <w:pPr>
              <w:pStyle w:val="19"/>
              <w:spacing w:line="360" w:lineRule="auto"/>
              <w:rPr>
                <w:rFonts w:hint="eastAsia" w:ascii="宋体" w:eastAsia="宋体"/>
                <w:szCs w:val="21"/>
                <w:lang w:val="en-US" w:eastAsia="zh-CN"/>
              </w:rPr>
            </w:pPr>
            <w:r>
              <w:rPr>
                <w:rFonts w:hint="eastAsia" w:ascii="宋体"/>
                <w:szCs w:val="21"/>
                <w:lang w:val="en-US" w:eastAsia="zh-CN"/>
              </w:rPr>
              <w:t>8</w:t>
            </w:r>
          </w:p>
        </w:tc>
        <w:tc>
          <w:tcPr>
            <w:tcW w:w="563" w:type="dxa"/>
          </w:tcPr>
          <w:p>
            <w:r>
              <w:t>1050600340</w:t>
            </w:r>
          </w:p>
        </w:tc>
        <w:tc>
          <w:tcPr>
            <w:tcW w:w="567" w:type="dxa"/>
          </w:tcPr>
          <w:p>
            <w:r>
              <w:rPr>
                <w:rFonts w:hint="eastAsia"/>
              </w:rPr>
              <w:t>大理石</w:t>
            </w:r>
          </w:p>
        </w:tc>
        <w:tc>
          <w:tcPr>
            <w:tcW w:w="708" w:type="dxa"/>
          </w:tcPr>
          <w:p>
            <w:r>
              <w:rPr>
                <w:rFonts w:hint="eastAsia"/>
              </w:rPr>
              <w:t>900×600×20</w:t>
            </w:r>
          </w:p>
        </w:tc>
        <w:tc>
          <w:tcPr>
            <w:tcW w:w="709" w:type="dxa"/>
          </w:tcPr>
          <w:p>
            <w:r>
              <w:rPr>
                <w:rFonts w:hint="eastAsia"/>
              </w:rPr>
              <w:t>32</w:t>
            </w:r>
          </w:p>
        </w:tc>
        <w:tc>
          <w:tcPr>
            <w:tcW w:w="567" w:type="dxa"/>
          </w:tcPr>
          <w:p>
            <w:pPr>
              <w:pStyle w:val="19"/>
              <w:spacing w:line="360" w:lineRule="auto"/>
              <w:rPr>
                <w:rFonts w:ascii="宋体"/>
                <w:szCs w:val="21"/>
              </w:rPr>
            </w:pPr>
            <w:r>
              <w:rPr>
                <w:rFonts w:ascii="宋体"/>
                <w:szCs w:val="21"/>
              </w:rPr>
              <w:t>PC</w:t>
            </w:r>
          </w:p>
        </w:tc>
        <w:tc>
          <w:tcPr>
            <w:tcW w:w="1276" w:type="dxa"/>
          </w:tcPr>
          <w:p>
            <w:pPr>
              <w:pStyle w:val="19"/>
              <w:spacing w:line="360" w:lineRule="auto"/>
              <w:rPr>
                <w:rFonts w:ascii="宋体"/>
                <w:szCs w:val="21"/>
              </w:rPr>
            </w:pPr>
          </w:p>
        </w:tc>
        <w:tc>
          <w:tcPr>
            <w:tcW w:w="1417" w:type="dxa"/>
          </w:tcPr>
          <w:p>
            <w:pPr>
              <w:pStyle w:val="19"/>
              <w:spacing w:line="360" w:lineRule="auto"/>
              <w:rPr>
                <w:rFonts w:ascii="宋体"/>
                <w:szCs w:val="21"/>
              </w:rPr>
            </w:pPr>
          </w:p>
        </w:tc>
        <w:tc>
          <w:tcPr>
            <w:tcW w:w="709" w:type="dxa"/>
          </w:tcPr>
          <w:p>
            <w:r>
              <w:rPr>
                <w:rFonts w:hint="eastAsia"/>
              </w:rPr>
              <w:t>合同生效后30日</w:t>
            </w:r>
          </w:p>
        </w:tc>
        <w:tc>
          <w:tcPr>
            <w:tcW w:w="709" w:type="dxa"/>
          </w:tcPr>
          <w:p>
            <w:r>
              <w:rPr>
                <w:rFonts w:hint="eastAsia"/>
              </w:rPr>
              <w:t>上都电厂物资站</w:t>
            </w:r>
          </w:p>
        </w:tc>
        <w:tc>
          <w:tcPr>
            <w:tcW w:w="1134" w:type="dxa"/>
          </w:tcPr>
          <w:p>
            <w:pPr>
              <w:pStyle w:val="19"/>
              <w:spacing w:line="360" w:lineRule="auto"/>
              <w:rPr>
                <w:rFonts w:asci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8" w:type="dxa"/>
          </w:tcPr>
          <w:p>
            <w:pPr>
              <w:pStyle w:val="19"/>
              <w:spacing w:line="360" w:lineRule="auto"/>
              <w:rPr>
                <w:rFonts w:hint="eastAsia" w:ascii="宋体" w:eastAsia="宋体"/>
                <w:szCs w:val="21"/>
                <w:lang w:val="en-US" w:eastAsia="zh-CN"/>
              </w:rPr>
            </w:pPr>
            <w:r>
              <w:rPr>
                <w:rFonts w:hint="eastAsia" w:ascii="宋体"/>
                <w:szCs w:val="21"/>
              </w:rPr>
              <w:t>1</w:t>
            </w:r>
            <w:r>
              <w:rPr>
                <w:rFonts w:hint="eastAsia" w:ascii="宋体"/>
                <w:szCs w:val="21"/>
                <w:lang w:val="en-US" w:eastAsia="zh-CN"/>
              </w:rPr>
              <w:t>9</w:t>
            </w:r>
          </w:p>
        </w:tc>
        <w:tc>
          <w:tcPr>
            <w:tcW w:w="563" w:type="dxa"/>
          </w:tcPr>
          <w:p>
            <w:r>
              <w:t>1050600338</w:t>
            </w:r>
          </w:p>
        </w:tc>
        <w:tc>
          <w:tcPr>
            <w:tcW w:w="567" w:type="dxa"/>
          </w:tcPr>
          <w:p>
            <w:r>
              <w:rPr>
                <w:rFonts w:hint="eastAsia"/>
              </w:rPr>
              <w:t>大理石</w:t>
            </w:r>
          </w:p>
        </w:tc>
        <w:tc>
          <w:tcPr>
            <w:tcW w:w="708" w:type="dxa"/>
          </w:tcPr>
          <w:p>
            <w:r>
              <w:rPr>
                <w:rFonts w:hint="eastAsia"/>
              </w:rPr>
              <w:t>1000×600×20</w:t>
            </w:r>
          </w:p>
        </w:tc>
        <w:tc>
          <w:tcPr>
            <w:tcW w:w="709" w:type="dxa"/>
          </w:tcPr>
          <w:p>
            <w:r>
              <w:rPr>
                <w:rFonts w:hint="eastAsia"/>
              </w:rPr>
              <w:t>8</w:t>
            </w:r>
          </w:p>
        </w:tc>
        <w:tc>
          <w:tcPr>
            <w:tcW w:w="567" w:type="dxa"/>
          </w:tcPr>
          <w:p>
            <w:pPr>
              <w:pStyle w:val="19"/>
              <w:spacing w:line="360" w:lineRule="auto"/>
              <w:rPr>
                <w:rFonts w:ascii="宋体"/>
                <w:szCs w:val="21"/>
              </w:rPr>
            </w:pPr>
            <w:r>
              <w:rPr>
                <w:rFonts w:ascii="宋体"/>
                <w:szCs w:val="21"/>
              </w:rPr>
              <w:t>PC</w:t>
            </w:r>
          </w:p>
        </w:tc>
        <w:tc>
          <w:tcPr>
            <w:tcW w:w="1276" w:type="dxa"/>
          </w:tcPr>
          <w:p>
            <w:pPr>
              <w:pStyle w:val="19"/>
              <w:spacing w:line="360" w:lineRule="auto"/>
              <w:rPr>
                <w:rFonts w:ascii="宋体"/>
                <w:szCs w:val="21"/>
              </w:rPr>
            </w:pPr>
          </w:p>
        </w:tc>
        <w:tc>
          <w:tcPr>
            <w:tcW w:w="1417" w:type="dxa"/>
          </w:tcPr>
          <w:p>
            <w:pPr>
              <w:pStyle w:val="19"/>
              <w:spacing w:line="360" w:lineRule="auto"/>
              <w:rPr>
                <w:rFonts w:ascii="宋体"/>
                <w:szCs w:val="21"/>
              </w:rPr>
            </w:pPr>
          </w:p>
        </w:tc>
        <w:tc>
          <w:tcPr>
            <w:tcW w:w="709" w:type="dxa"/>
          </w:tcPr>
          <w:p>
            <w:r>
              <w:rPr>
                <w:rFonts w:hint="eastAsia"/>
              </w:rPr>
              <w:t>合同生效后30日</w:t>
            </w:r>
          </w:p>
        </w:tc>
        <w:tc>
          <w:tcPr>
            <w:tcW w:w="709" w:type="dxa"/>
          </w:tcPr>
          <w:p>
            <w:r>
              <w:rPr>
                <w:rFonts w:hint="eastAsia"/>
              </w:rPr>
              <w:t>上都电厂物资站</w:t>
            </w:r>
          </w:p>
        </w:tc>
        <w:tc>
          <w:tcPr>
            <w:tcW w:w="1134" w:type="dxa"/>
          </w:tcPr>
          <w:p>
            <w:pPr>
              <w:pStyle w:val="19"/>
              <w:spacing w:line="360" w:lineRule="auto"/>
              <w:rPr>
                <w:rFonts w:asci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8" w:type="dxa"/>
          </w:tcPr>
          <w:p>
            <w:pPr>
              <w:pStyle w:val="19"/>
              <w:spacing w:line="360" w:lineRule="auto"/>
              <w:rPr>
                <w:rFonts w:hint="eastAsia" w:ascii="宋体" w:eastAsia="宋体"/>
                <w:szCs w:val="21"/>
                <w:lang w:val="en-US" w:eastAsia="zh-CN"/>
              </w:rPr>
            </w:pPr>
            <w:r>
              <w:rPr>
                <w:rFonts w:hint="eastAsia" w:ascii="宋体"/>
                <w:szCs w:val="21"/>
              </w:rPr>
              <w:t>1</w:t>
            </w:r>
            <w:r>
              <w:rPr>
                <w:rFonts w:hint="eastAsia" w:ascii="宋体"/>
                <w:szCs w:val="21"/>
                <w:lang w:val="en-US" w:eastAsia="zh-CN"/>
              </w:rPr>
              <w:t>0</w:t>
            </w:r>
          </w:p>
        </w:tc>
        <w:tc>
          <w:tcPr>
            <w:tcW w:w="563" w:type="dxa"/>
          </w:tcPr>
          <w:p>
            <w:r>
              <w:t>1050600346</w:t>
            </w:r>
          </w:p>
        </w:tc>
        <w:tc>
          <w:tcPr>
            <w:tcW w:w="567" w:type="dxa"/>
          </w:tcPr>
          <w:p>
            <w:r>
              <w:rPr>
                <w:rFonts w:hint="eastAsia"/>
              </w:rPr>
              <w:t>大理石</w:t>
            </w:r>
          </w:p>
        </w:tc>
        <w:tc>
          <w:tcPr>
            <w:tcW w:w="708" w:type="dxa"/>
          </w:tcPr>
          <w:p>
            <w:r>
              <w:rPr>
                <w:rFonts w:hint="eastAsia"/>
              </w:rPr>
              <w:t>1200×500×20</w:t>
            </w:r>
          </w:p>
        </w:tc>
        <w:tc>
          <w:tcPr>
            <w:tcW w:w="709" w:type="dxa"/>
          </w:tcPr>
          <w:p>
            <w:r>
              <w:rPr>
                <w:rFonts w:hint="eastAsia"/>
              </w:rPr>
              <w:t>25</w:t>
            </w:r>
          </w:p>
        </w:tc>
        <w:tc>
          <w:tcPr>
            <w:tcW w:w="567" w:type="dxa"/>
          </w:tcPr>
          <w:p>
            <w:pPr>
              <w:pStyle w:val="19"/>
              <w:spacing w:line="360" w:lineRule="auto"/>
              <w:rPr>
                <w:rFonts w:ascii="宋体"/>
                <w:szCs w:val="21"/>
              </w:rPr>
            </w:pPr>
            <w:r>
              <w:rPr>
                <w:rFonts w:ascii="宋体"/>
                <w:szCs w:val="21"/>
              </w:rPr>
              <w:t>PC</w:t>
            </w:r>
          </w:p>
        </w:tc>
        <w:tc>
          <w:tcPr>
            <w:tcW w:w="1276" w:type="dxa"/>
          </w:tcPr>
          <w:p>
            <w:pPr>
              <w:pStyle w:val="19"/>
              <w:spacing w:line="360" w:lineRule="auto"/>
              <w:rPr>
                <w:rFonts w:ascii="宋体"/>
                <w:szCs w:val="21"/>
              </w:rPr>
            </w:pPr>
          </w:p>
        </w:tc>
        <w:tc>
          <w:tcPr>
            <w:tcW w:w="1417" w:type="dxa"/>
          </w:tcPr>
          <w:p>
            <w:pPr>
              <w:pStyle w:val="19"/>
              <w:spacing w:line="360" w:lineRule="auto"/>
              <w:rPr>
                <w:rFonts w:ascii="宋体"/>
                <w:szCs w:val="21"/>
              </w:rPr>
            </w:pPr>
          </w:p>
        </w:tc>
        <w:tc>
          <w:tcPr>
            <w:tcW w:w="709" w:type="dxa"/>
          </w:tcPr>
          <w:p>
            <w:r>
              <w:rPr>
                <w:rFonts w:hint="eastAsia"/>
              </w:rPr>
              <w:t>合同生效后30日</w:t>
            </w:r>
          </w:p>
        </w:tc>
        <w:tc>
          <w:tcPr>
            <w:tcW w:w="709" w:type="dxa"/>
          </w:tcPr>
          <w:p>
            <w:r>
              <w:rPr>
                <w:rFonts w:hint="eastAsia"/>
              </w:rPr>
              <w:t>上都电厂物资站</w:t>
            </w:r>
          </w:p>
        </w:tc>
        <w:tc>
          <w:tcPr>
            <w:tcW w:w="1134" w:type="dxa"/>
          </w:tcPr>
          <w:p>
            <w:pPr>
              <w:pStyle w:val="19"/>
              <w:spacing w:line="360" w:lineRule="auto"/>
              <w:rPr>
                <w:rFonts w:asci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8" w:type="dxa"/>
          </w:tcPr>
          <w:p>
            <w:pPr>
              <w:pStyle w:val="19"/>
              <w:spacing w:line="360" w:lineRule="auto"/>
              <w:rPr>
                <w:rFonts w:hint="eastAsia" w:ascii="宋体" w:eastAsia="宋体"/>
                <w:szCs w:val="21"/>
                <w:lang w:val="en-US" w:eastAsia="zh-CN"/>
              </w:rPr>
            </w:pPr>
            <w:r>
              <w:rPr>
                <w:rFonts w:hint="eastAsia" w:ascii="宋体"/>
                <w:szCs w:val="21"/>
              </w:rPr>
              <w:t>1</w:t>
            </w:r>
            <w:r>
              <w:rPr>
                <w:rFonts w:hint="eastAsia" w:ascii="宋体"/>
                <w:szCs w:val="21"/>
                <w:lang w:val="en-US" w:eastAsia="zh-CN"/>
              </w:rPr>
              <w:t>1</w:t>
            </w:r>
          </w:p>
        </w:tc>
        <w:tc>
          <w:tcPr>
            <w:tcW w:w="563" w:type="dxa"/>
          </w:tcPr>
          <w:p>
            <w:r>
              <w:t>1050600343</w:t>
            </w:r>
          </w:p>
        </w:tc>
        <w:tc>
          <w:tcPr>
            <w:tcW w:w="567" w:type="dxa"/>
          </w:tcPr>
          <w:p>
            <w:r>
              <w:rPr>
                <w:rFonts w:hint="eastAsia"/>
              </w:rPr>
              <w:t>大理石</w:t>
            </w:r>
          </w:p>
        </w:tc>
        <w:tc>
          <w:tcPr>
            <w:tcW w:w="708" w:type="dxa"/>
          </w:tcPr>
          <w:p>
            <w:r>
              <w:rPr>
                <w:rFonts w:hint="eastAsia"/>
              </w:rPr>
              <w:t>1200×600×20</w:t>
            </w:r>
          </w:p>
        </w:tc>
        <w:tc>
          <w:tcPr>
            <w:tcW w:w="709" w:type="dxa"/>
          </w:tcPr>
          <w:p>
            <w:r>
              <w:rPr>
                <w:rFonts w:hint="eastAsia"/>
              </w:rPr>
              <w:t>240</w:t>
            </w:r>
          </w:p>
        </w:tc>
        <w:tc>
          <w:tcPr>
            <w:tcW w:w="567" w:type="dxa"/>
          </w:tcPr>
          <w:p>
            <w:pPr>
              <w:pStyle w:val="19"/>
              <w:spacing w:line="360" w:lineRule="auto"/>
              <w:rPr>
                <w:rFonts w:ascii="宋体"/>
                <w:szCs w:val="21"/>
              </w:rPr>
            </w:pPr>
            <w:r>
              <w:rPr>
                <w:rFonts w:ascii="宋体"/>
                <w:szCs w:val="21"/>
              </w:rPr>
              <w:t>PC</w:t>
            </w:r>
          </w:p>
        </w:tc>
        <w:tc>
          <w:tcPr>
            <w:tcW w:w="1276" w:type="dxa"/>
          </w:tcPr>
          <w:p>
            <w:pPr>
              <w:pStyle w:val="19"/>
              <w:spacing w:line="360" w:lineRule="auto"/>
              <w:rPr>
                <w:rFonts w:ascii="宋体"/>
                <w:szCs w:val="21"/>
              </w:rPr>
            </w:pPr>
          </w:p>
        </w:tc>
        <w:tc>
          <w:tcPr>
            <w:tcW w:w="1417" w:type="dxa"/>
          </w:tcPr>
          <w:p>
            <w:pPr>
              <w:pStyle w:val="19"/>
              <w:spacing w:line="360" w:lineRule="auto"/>
              <w:rPr>
                <w:rFonts w:ascii="宋体"/>
                <w:szCs w:val="21"/>
              </w:rPr>
            </w:pPr>
          </w:p>
        </w:tc>
        <w:tc>
          <w:tcPr>
            <w:tcW w:w="709" w:type="dxa"/>
          </w:tcPr>
          <w:p>
            <w:r>
              <w:rPr>
                <w:rFonts w:hint="eastAsia"/>
              </w:rPr>
              <w:t>合同生效后30日</w:t>
            </w:r>
          </w:p>
        </w:tc>
        <w:tc>
          <w:tcPr>
            <w:tcW w:w="709" w:type="dxa"/>
          </w:tcPr>
          <w:p>
            <w:r>
              <w:rPr>
                <w:rFonts w:hint="eastAsia"/>
              </w:rPr>
              <w:t>上都电厂物资站</w:t>
            </w:r>
          </w:p>
        </w:tc>
        <w:tc>
          <w:tcPr>
            <w:tcW w:w="1134" w:type="dxa"/>
          </w:tcPr>
          <w:p>
            <w:pPr>
              <w:pStyle w:val="19"/>
              <w:spacing w:line="360" w:lineRule="auto"/>
              <w:rPr>
                <w:rFonts w:asci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8" w:type="dxa"/>
            <w:shd w:val="clear" w:color="auto" w:fill="auto"/>
          </w:tcPr>
          <w:p>
            <w:pPr>
              <w:pStyle w:val="19"/>
              <w:spacing w:line="360" w:lineRule="auto"/>
              <w:jc w:val="center"/>
              <w:rPr>
                <w:rFonts w:ascii="宋体"/>
                <w:szCs w:val="21"/>
              </w:rPr>
            </w:pPr>
            <w:r>
              <w:rPr>
                <w:rFonts w:hint="eastAsia" w:ascii="宋体"/>
                <w:sz w:val="24"/>
              </w:rPr>
              <w:t>合计</w:t>
            </w:r>
          </w:p>
        </w:tc>
        <w:tc>
          <w:tcPr>
            <w:tcW w:w="563" w:type="dxa"/>
          </w:tcPr>
          <w:p>
            <w:pPr>
              <w:pStyle w:val="19"/>
              <w:spacing w:line="360" w:lineRule="auto"/>
            </w:pPr>
          </w:p>
        </w:tc>
        <w:tc>
          <w:tcPr>
            <w:tcW w:w="567" w:type="dxa"/>
          </w:tcPr>
          <w:p/>
        </w:tc>
        <w:tc>
          <w:tcPr>
            <w:tcW w:w="708" w:type="dxa"/>
          </w:tcPr>
          <w:p/>
        </w:tc>
        <w:tc>
          <w:tcPr>
            <w:tcW w:w="709" w:type="dxa"/>
          </w:tcPr>
          <w:p/>
        </w:tc>
        <w:tc>
          <w:tcPr>
            <w:tcW w:w="567" w:type="dxa"/>
          </w:tcPr>
          <w:p>
            <w:pPr>
              <w:pStyle w:val="19"/>
              <w:spacing w:line="360" w:lineRule="auto"/>
              <w:rPr>
                <w:rFonts w:ascii="宋体"/>
                <w:szCs w:val="21"/>
              </w:rPr>
            </w:pPr>
          </w:p>
        </w:tc>
        <w:tc>
          <w:tcPr>
            <w:tcW w:w="1276" w:type="dxa"/>
          </w:tcPr>
          <w:p>
            <w:pPr>
              <w:pStyle w:val="19"/>
              <w:spacing w:line="360" w:lineRule="auto"/>
              <w:rPr>
                <w:rFonts w:ascii="宋体"/>
                <w:szCs w:val="21"/>
              </w:rPr>
            </w:pPr>
          </w:p>
        </w:tc>
        <w:tc>
          <w:tcPr>
            <w:tcW w:w="1417" w:type="dxa"/>
          </w:tcPr>
          <w:p>
            <w:pPr>
              <w:pStyle w:val="19"/>
              <w:spacing w:line="360" w:lineRule="auto"/>
              <w:rPr>
                <w:rFonts w:ascii="宋体"/>
                <w:szCs w:val="21"/>
              </w:rPr>
            </w:pPr>
          </w:p>
        </w:tc>
        <w:tc>
          <w:tcPr>
            <w:tcW w:w="709" w:type="dxa"/>
          </w:tcPr>
          <w:p/>
        </w:tc>
        <w:tc>
          <w:tcPr>
            <w:tcW w:w="709" w:type="dxa"/>
          </w:tcPr>
          <w:p/>
        </w:tc>
        <w:tc>
          <w:tcPr>
            <w:tcW w:w="1134" w:type="dxa"/>
          </w:tcPr>
          <w:p>
            <w:pPr>
              <w:pStyle w:val="19"/>
              <w:spacing w:line="360" w:lineRule="auto"/>
              <w:rPr>
                <w:rFonts w:asci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928" w:type="dxa"/>
            <w:gridSpan w:val="7"/>
            <w:shd w:val="clear" w:color="auto" w:fill="auto"/>
          </w:tcPr>
          <w:p>
            <w:pPr>
              <w:pStyle w:val="19"/>
              <w:spacing w:line="360" w:lineRule="auto"/>
              <w:jc w:val="center"/>
              <w:rPr>
                <w:rFonts w:ascii="宋体"/>
                <w:sz w:val="24"/>
              </w:rPr>
            </w:pPr>
          </w:p>
        </w:tc>
        <w:tc>
          <w:tcPr>
            <w:tcW w:w="3969" w:type="dxa"/>
            <w:gridSpan w:val="4"/>
          </w:tcPr>
          <w:p>
            <w:pPr>
              <w:pStyle w:val="19"/>
              <w:spacing w:line="360" w:lineRule="auto"/>
              <w:rPr>
                <w:rFonts w:ascii="宋体"/>
                <w:sz w:val="24"/>
              </w:rPr>
            </w:pPr>
          </w:p>
        </w:tc>
      </w:tr>
    </w:tbl>
    <w:p>
      <w:pPr>
        <w:pStyle w:val="19"/>
        <w:spacing w:line="360" w:lineRule="auto"/>
        <w:rPr>
          <w:rFonts w:ascii="宋体"/>
          <w:sz w:val="24"/>
        </w:rPr>
      </w:pPr>
      <w:r>
        <w:rPr>
          <w:rFonts w:hint="eastAsia" w:ascii="宋体"/>
          <w:sz w:val="24"/>
        </w:rPr>
        <w:t>（二）技术性能</w:t>
      </w:r>
    </w:p>
    <w:p>
      <w:pPr>
        <w:tabs>
          <w:tab w:val="left" w:pos="1931"/>
        </w:tabs>
        <w:spacing w:line="360" w:lineRule="auto"/>
        <w:rPr>
          <w:rFonts w:hAnsi="宋体" w:cs="宋体"/>
          <w:sz w:val="24"/>
        </w:rPr>
      </w:pPr>
      <w:r>
        <w:rPr>
          <w:rFonts w:hint="eastAsia" w:hAnsi="宋体" w:cs="宋体"/>
          <w:sz w:val="24"/>
        </w:rPr>
        <w:t>一、本次采购的</w:t>
      </w:r>
      <w:r>
        <w:rPr>
          <w:rFonts w:hint="eastAsia" w:ascii="宋体" w:hAnsi="宋体"/>
          <w:color w:val="000000"/>
          <w:kern w:val="0"/>
          <w:sz w:val="24"/>
        </w:rPr>
        <w:t>路面修补材料WK-010 25KG/BAG要求为近2个月内生产产品</w:t>
      </w:r>
      <w:r>
        <w:rPr>
          <w:rFonts w:hint="eastAsia" w:hAnsi="宋体" w:cs="宋体"/>
          <w:sz w:val="24"/>
        </w:rPr>
        <w:t>，并提供产品检验报告和出厂合格证。如不符要求将全部退货。</w:t>
      </w:r>
    </w:p>
    <w:p>
      <w:pPr>
        <w:rPr>
          <w:sz w:val="32"/>
          <w:szCs w:val="32"/>
        </w:rPr>
      </w:pPr>
      <w:r>
        <w:rPr>
          <w:rFonts w:hint="eastAsia"/>
          <w:sz w:val="24"/>
        </w:rPr>
        <w:t>大理石附样品参考图片</w:t>
      </w:r>
      <w:r>
        <w:rPr>
          <w:rFonts w:hint="eastAsia"/>
          <w:sz w:val="32"/>
          <w:szCs w:val="32"/>
        </w:rPr>
        <w:t>：</w:t>
      </w:r>
    </w:p>
    <w:p>
      <w:pPr>
        <w:tabs>
          <w:tab w:val="left" w:pos="1931"/>
        </w:tabs>
        <w:spacing w:line="360" w:lineRule="auto"/>
      </w:pPr>
      <w:r>
        <w:rPr>
          <w:rFonts w:hint="eastAsia" w:hAnsi="宋体" w:cs="宋体"/>
          <w:sz w:val="24"/>
        </w:rPr>
        <w:t>二、</w:t>
      </w:r>
      <w:r>
        <w:rPr>
          <w:rFonts w:hint="eastAsia"/>
        </w:rPr>
        <w:t>大理石1200×600×20需火烧面颜色黄金叶</w:t>
      </w:r>
    </w:p>
    <w:p>
      <w:pPr>
        <w:tabs>
          <w:tab w:val="left" w:pos="1931"/>
        </w:tabs>
        <w:spacing w:line="360" w:lineRule="auto"/>
      </w:pPr>
      <w:r>
        <w:drawing>
          <wp:inline distT="0" distB="0" distL="0" distR="0">
            <wp:extent cx="1228090" cy="824865"/>
            <wp:effectExtent l="19050" t="0" r="0" b="0"/>
            <wp:docPr id="2" name="图片 1" descr="C:\Users\Administrator\Desktop\IMG_20220826_08090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descr="C:\Users\Administrator\Desktop\IMG_20220826_080907.jpg"/>
                    <pic:cNvPicPr>
                      <a:picLocks noChangeAspect="1" noChangeArrowheads="1"/>
                    </pic:cNvPicPr>
                  </pic:nvPicPr>
                  <pic:blipFill>
                    <a:blip r:embed="rId5" cstate="print"/>
                    <a:srcRect/>
                    <a:stretch>
                      <a:fillRect/>
                    </a:stretch>
                  </pic:blipFill>
                  <pic:spPr>
                    <a:xfrm>
                      <a:off x="0" y="0"/>
                      <a:ext cx="1231304" cy="827095"/>
                    </a:xfrm>
                    <a:prstGeom prst="rect">
                      <a:avLst/>
                    </a:prstGeom>
                    <a:noFill/>
                    <a:ln w="9525">
                      <a:noFill/>
                      <a:miter lim="800000"/>
                      <a:headEnd/>
                      <a:tailEnd/>
                    </a:ln>
                  </pic:spPr>
                </pic:pic>
              </a:graphicData>
            </a:graphic>
          </wp:inline>
        </w:drawing>
      </w:r>
    </w:p>
    <w:p>
      <w:pPr>
        <w:tabs>
          <w:tab w:val="left" w:pos="1931"/>
        </w:tabs>
        <w:spacing w:line="360" w:lineRule="auto"/>
      </w:pPr>
      <w:r>
        <w:rPr>
          <w:rFonts w:hint="eastAsia"/>
        </w:rPr>
        <w:t>大理石1200×500×20需条纹光面颜色为枫叶红</w:t>
      </w:r>
    </w:p>
    <w:p>
      <w:pPr>
        <w:tabs>
          <w:tab w:val="left" w:pos="1931"/>
        </w:tabs>
        <w:spacing w:line="360" w:lineRule="auto"/>
      </w:pPr>
      <w:r>
        <w:drawing>
          <wp:inline distT="0" distB="0" distL="0" distR="0">
            <wp:extent cx="1229360" cy="885825"/>
            <wp:effectExtent l="19050" t="0" r="8530" b="0"/>
            <wp:docPr id="5" name="图片 2" descr="C:\Users\Administrator\Desktop\IMG_20220826_0809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2" descr="C:\Users\Administrator\Desktop\IMG_20220826_080901.jpg"/>
                    <pic:cNvPicPr>
                      <a:picLocks noChangeAspect="1" noChangeArrowheads="1"/>
                    </pic:cNvPicPr>
                  </pic:nvPicPr>
                  <pic:blipFill>
                    <a:blip r:embed="rId6" cstate="print"/>
                    <a:srcRect/>
                    <a:stretch>
                      <a:fillRect/>
                    </a:stretch>
                  </pic:blipFill>
                  <pic:spPr>
                    <a:xfrm>
                      <a:off x="0" y="0"/>
                      <a:ext cx="1231701" cy="887866"/>
                    </a:xfrm>
                    <a:prstGeom prst="rect">
                      <a:avLst/>
                    </a:prstGeom>
                    <a:noFill/>
                    <a:ln w="9525">
                      <a:noFill/>
                      <a:miter lim="800000"/>
                      <a:headEnd/>
                      <a:tailEnd/>
                    </a:ln>
                  </pic:spPr>
                </pic:pic>
              </a:graphicData>
            </a:graphic>
          </wp:inline>
        </w:drawing>
      </w:r>
    </w:p>
    <w:p>
      <w:pPr>
        <w:tabs>
          <w:tab w:val="left" w:pos="1931"/>
        </w:tabs>
        <w:spacing w:line="360" w:lineRule="auto"/>
      </w:pPr>
      <w:r>
        <w:rPr>
          <w:rFonts w:hint="eastAsia"/>
        </w:rPr>
        <w:t>大理石600×300×20需条纹光面颜色为灰色、黑色、枫叶红三种</w:t>
      </w:r>
    </w:p>
    <w:p>
      <w:pPr>
        <w:tabs>
          <w:tab w:val="left" w:pos="1931"/>
        </w:tabs>
        <w:spacing w:line="360" w:lineRule="auto"/>
      </w:pPr>
      <w:r>
        <w:drawing>
          <wp:inline distT="0" distB="0" distL="0" distR="0">
            <wp:extent cx="1346200" cy="805180"/>
            <wp:effectExtent l="19050" t="0" r="6350" b="0"/>
            <wp:docPr id="8" name="图片 3" descr="C:\Users\Administrator\Desktop\wx_camera_166070364401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3" descr="C:\Users\Administrator\Desktop\wx_camera_1660703644015.jpg"/>
                    <pic:cNvPicPr>
                      <a:picLocks noChangeAspect="1" noChangeArrowheads="1"/>
                    </pic:cNvPicPr>
                  </pic:nvPicPr>
                  <pic:blipFill>
                    <a:blip r:embed="rId7" cstate="print"/>
                    <a:srcRect/>
                    <a:stretch>
                      <a:fillRect/>
                    </a:stretch>
                  </pic:blipFill>
                  <pic:spPr>
                    <a:xfrm>
                      <a:off x="0" y="0"/>
                      <a:ext cx="1349491" cy="807186"/>
                    </a:xfrm>
                    <a:prstGeom prst="rect">
                      <a:avLst/>
                    </a:prstGeom>
                    <a:noFill/>
                    <a:ln w="9525">
                      <a:noFill/>
                      <a:miter lim="800000"/>
                      <a:headEnd/>
                      <a:tailEnd/>
                    </a:ln>
                  </pic:spPr>
                </pic:pic>
              </a:graphicData>
            </a:graphic>
          </wp:inline>
        </w:drawing>
      </w:r>
    </w:p>
    <w:p>
      <w:pPr>
        <w:tabs>
          <w:tab w:val="left" w:pos="1931"/>
        </w:tabs>
        <w:spacing w:line="360" w:lineRule="auto"/>
        <w:rPr>
          <w:rFonts w:hAnsi="宋体" w:cs="宋体"/>
          <w:sz w:val="24"/>
        </w:rPr>
      </w:pPr>
    </w:p>
    <w:p>
      <w:pPr>
        <w:tabs>
          <w:tab w:val="left" w:pos="1931"/>
        </w:tabs>
        <w:spacing w:line="360" w:lineRule="auto"/>
        <w:jc w:val="left"/>
        <w:rPr>
          <w:sz w:val="24"/>
        </w:rPr>
      </w:pPr>
      <w:r>
        <w:rPr>
          <w:rFonts w:hint="eastAsia" w:ascii="宋体" w:hAnsi="宋体"/>
          <w:sz w:val="24"/>
        </w:rPr>
        <w:t>1、乙方</w:t>
      </w:r>
      <w:r>
        <w:rPr>
          <w:rFonts w:hint="eastAsia"/>
          <w:sz w:val="24"/>
        </w:rPr>
        <w:t>提供的</w:t>
      </w:r>
      <w:r>
        <w:rPr>
          <w:rFonts w:hint="eastAsia" w:ascii="宋体" w:hAnsi="宋体"/>
          <w:color w:val="000000"/>
          <w:kern w:val="0"/>
          <w:sz w:val="24"/>
        </w:rPr>
        <w:t>路面修补材料WK-010 25KG/BAG</w:t>
      </w:r>
      <w:r>
        <w:rPr>
          <w:rFonts w:hint="eastAsia" w:ascii="宋体" w:hAnsi="宋体"/>
          <w:sz w:val="24"/>
        </w:rPr>
        <w:t>需近2个月内生产产品</w:t>
      </w:r>
      <w:r>
        <w:rPr>
          <w:rFonts w:hint="eastAsia"/>
          <w:sz w:val="24"/>
        </w:rPr>
        <w:t>。备品应满足相应生产厂家以及相关国标的技术标准及规范,产品</w:t>
      </w:r>
      <w:r>
        <w:rPr>
          <w:rFonts w:hint="eastAsia" w:asciiTheme="minorEastAsia" w:hAnsiTheme="minorEastAsia"/>
          <w:sz w:val="24"/>
        </w:rPr>
        <w:t>具有良好的安全性、可靠性，不应有过期或已使用过的产品。</w:t>
      </w:r>
      <w:r>
        <w:rPr>
          <w:rFonts w:hint="eastAsia"/>
          <w:sz w:val="24"/>
        </w:rPr>
        <w:t>供方提供的产品要有生产厂家的质量合格证书，产品应注明制造厂名称或商标、制造年月。生产厂家的铭牌，应注明产品名称、型号、规格、数据范围等主要技术指标，</w:t>
      </w:r>
      <w:r>
        <w:rPr>
          <w:rFonts w:hint="eastAsia" w:asciiTheme="minorEastAsia" w:hAnsiTheme="minorEastAsia"/>
          <w:sz w:val="24"/>
        </w:rPr>
        <w:t>供应商同时需提供配件装箱单、产品出厂合格证。</w:t>
      </w:r>
    </w:p>
    <w:p>
      <w:pPr>
        <w:tabs>
          <w:tab w:val="left" w:pos="1931"/>
        </w:tabs>
        <w:spacing w:line="360" w:lineRule="auto"/>
        <w:rPr>
          <w:sz w:val="24"/>
        </w:rPr>
      </w:pPr>
      <w:r>
        <w:rPr>
          <w:rFonts w:hint="eastAsia"/>
          <w:sz w:val="24"/>
        </w:rPr>
        <w:t>2、保质期内甲方在产品的使用中若出现质量问题，</w:t>
      </w:r>
      <w:r>
        <w:rPr>
          <w:rFonts w:hint="eastAsia" w:ascii="宋体" w:hAnsi="宋体"/>
          <w:sz w:val="24"/>
        </w:rPr>
        <w:t>乙方</w:t>
      </w:r>
      <w:r>
        <w:rPr>
          <w:rFonts w:hint="eastAsia"/>
          <w:sz w:val="24"/>
        </w:rPr>
        <w:t>负责免费维修或更换   新产品，并对因质量问题给甲方造成的损失负责，且甲方有权提出退货要求。</w:t>
      </w:r>
    </w:p>
    <w:p>
      <w:pPr>
        <w:tabs>
          <w:tab w:val="left" w:pos="1931"/>
        </w:tabs>
        <w:spacing w:line="360" w:lineRule="auto"/>
        <w:rPr>
          <w:sz w:val="24"/>
        </w:rPr>
      </w:pPr>
      <w:r>
        <w:rPr>
          <w:rFonts w:hint="eastAsia" w:ascii="宋体" w:hAnsi="宋体"/>
          <w:sz w:val="24"/>
        </w:rPr>
        <w:t>3、本协议</w:t>
      </w:r>
      <w:r>
        <w:rPr>
          <w:rFonts w:hint="eastAsia"/>
          <w:sz w:val="24"/>
        </w:rPr>
        <w:t>乙方所供大理石产品必须外观样式、尺寸、规格型号与我方技术要求一致，签订合同后为避免大理石颜色与现场不符，供货前需提供大理石颜色样品与现场大理石颜色比对由甲方认可，如若到达现物资后发现产品不符，乙方负责免费更换</w:t>
      </w:r>
      <w:r>
        <w:rPr>
          <w:rFonts w:hint="eastAsia" w:ascii="Verdana" w:hAnsi="Verdana"/>
          <w:sz w:val="24"/>
        </w:rPr>
        <w:t>。</w:t>
      </w:r>
      <w:r>
        <w:rPr>
          <w:rFonts w:hint="eastAsia" w:ascii="宋体" w:hAnsi="宋体"/>
          <w:sz w:val="24"/>
        </w:rPr>
        <w:t>中标价格不变，乙方不得以任何理由增加费用。</w:t>
      </w:r>
    </w:p>
    <w:p>
      <w:pPr>
        <w:tabs>
          <w:tab w:val="left" w:pos="1931"/>
        </w:tabs>
        <w:spacing w:line="360" w:lineRule="auto"/>
        <w:rPr>
          <w:rFonts w:ascii="宋体" w:hAnsi="宋体"/>
          <w:sz w:val="24"/>
        </w:rPr>
      </w:pPr>
      <w:r>
        <w:rPr>
          <w:rFonts w:hint="eastAsia" w:ascii="宋体" w:hAnsi="宋体"/>
          <w:sz w:val="24"/>
        </w:rPr>
        <w:t>4、备品长期存放应保持原有性能。备品材质优良，符合现场使用，不变形。</w:t>
      </w:r>
    </w:p>
    <w:p>
      <w:pPr>
        <w:pStyle w:val="12"/>
        <w:spacing w:line="360" w:lineRule="auto"/>
      </w:pPr>
      <w:r>
        <w:rPr>
          <w:rFonts w:hint="eastAsia"/>
          <w:sz w:val="24"/>
        </w:rPr>
        <w:t>5、 供方所提供产品必须为国家正规厂家生产的优质产品，有3C认证带产品合格证。</w:t>
      </w:r>
      <w:r>
        <w:rPr>
          <w:rFonts w:hint="eastAsia" w:asciiTheme="minorEastAsia" w:hAnsiTheme="minorEastAsia"/>
          <w:sz w:val="24"/>
        </w:rPr>
        <w:t>一经发现是假冒伪劣产品，必须全部退货，并追究供货方其相关责任。</w:t>
      </w:r>
    </w:p>
    <w:p>
      <w:pPr>
        <w:pStyle w:val="19"/>
        <w:spacing w:line="360" w:lineRule="auto"/>
        <w:jc w:val="left"/>
        <w:rPr>
          <w:rFonts w:ascii="宋体"/>
          <w:sz w:val="24"/>
        </w:rPr>
      </w:pPr>
      <w:r>
        <w:rPr>
          <w:rFonts w:hint="eastAsia" w:ascii="宋体"/>
          <w:sz w:val="24"/>
        </w:rPr>
        <w:t>7、供货材料在运输过程中采取妥善包装，不致遭到损坏、变形、受潮、腐蚀。如有上述原因造成材料损坏，均有乙方自行承担全部责任。</w:t>
      </w:r>
    </w:p>
    <w:p>
      <w:pPr>
        <w:pStyle w:val="12"/>
        <w:spacing w:line="360" w:lineRule="auto"/>
        <w:ind w:firstLine="480" w:firstLineChars="200"/>
        <w:rPr>
          <w:rFonts w:asciiTheme="minorEastAsia" w:hAnsiTheme="minorEastAsia"/>
          <w:sz w:val="24"/>
        </w:rPr>
      </w:pPr>
      <w:r>
        <w:rPr>
          <w:rFonts w:hint="eastAsia" w:asciiTheme="minorEastAsia" w:hAnsiTheme="minorEastAsia"/>
          <w:sz w:val="24"/>
        </w:rPr>
        <w:t>(三)、技术服务和质保期服务要求</w:t>
      </w:r>
    </w:p>
    <w:p>
      <w:pPr>
        <w:pStyle w:val="12"/>
        <w:spacing w:line="360" w:lineRule="auto"/>
        <w:rPr>
          <w:rFonts w:asciiTheme="minorEastAsia" w:hAnsiTheme="minorEastAsia"/>
          <w:sz w:val="24"/>
        </w:rPr>
      </w:pPr>
      <w:r>
        <w:rPr>
          <w:rFonts w:hint="eastAsia" w:asciiTheme="minorEastAsia" w:hAnsiTheme="minorEastAsia"/>
          <w:sz w:val="24"/>
        </w:rPr>
        <w:t>1 、质保期自备件安装验收合格后1年，供应商必须保证在使用期内，因制造技术质量产生的任何问题，均需承担责任。</w:t>
      </w:r>
    </w:p>
    <w:p>
      <w:pPr>
        <w:tabs>
          <w:tab w:val="left" w:pos="567"/>
        </w:tabs>
        <w:adjustRightInd w:val="0"/>
        <w:snapToGrid w:val="0"/>
        <w:spacing w:line="360" w:lineRule="auto"/>
        <w:rPr>
          <w:rFonts w:ascii="宋体" w:hAnsi="宋体"/>
          <w:sz w:val="24"/>
        </w:rPr>
      </w:pPr>
      <w:r>
        <w:rPr>
          <w:rFonts w:hint="eastAsia" w:asciiTheme="minorEastAsia" w:hAnsiTheme="minorEastAsia"/>
          <w:sz w:val="24"/>
        </w:rPr>
        <w:t>2、保证期内外如出现备品质量问题，供应商技术人员应在48小时内赶到现场进行免费服务。</w:t>
      </w:r>
      <w:r>
        <w:rPr>
          <w:rFonts w:hint="eastAsia" w:ascii="宋体" w:hAnsi="宋体"/>
          <w:sz w:val="24"/>
        </w:rPr>
        <w:t>如因产品质量问题导致招标方其它设备损坏、财产损失、人身伤害的，所有责任均由投标方承担。在质保期内，因质量问题需要进行设备(部件)更换、修复或进行其它处理所用的时间，保证期应作相应延长。</w:t>
      </w:r>
      <w:r>
        <w:rPr>
          <w:rFonts w:hint="eastAsia" w:asciiTheme="minorEastAsia" w:hAnsiTheme="minorEastAsia" w:eastAsiaTheme="minorEastAsia" w:cstheme="minorEastAsia"/>
          <w:sz w:val="24"/>
        </w:rPr>
        <w:t>在产品质量保证期后，供货方仍有义务对产品的完好和正常运行提供技术支持。当出现故障时，供应商仍应积极配合</w:t>
      </w:r>
      <w:r>
        <w:rPr>
          <w:rFonts w:hint="eastAsia" w:asciiTheme="minorEastAsia" w:hAnsiTheme="minorEastAsia" w:cstheme="minorEastAsia"/>
          <w:sz w:val="24"/>
        </w:rPr>
        <w:t>采购</w:t>
      </w:r>
      <w:r>
        <w:rPr>
          <w:rFonts w:hint="eastAsia" w:asciiTheme="minorEastAsia" w:hAnsiTheme="minorEastAsia" w:eastAsiaTheme="minorEastAsia" w:cstheme="minorEastAsia"/>
          <w:sz w:val="24"/>
        </w:rPr>
        <w:t>方解决技术问题及保证及时提供检修零部件。</w:t>
      </w:r>
    </w:p>
    <w:p>
      <w:pPr>
        <w:pStyle w:val="12"/>
        <w:spacing w:line="360" w:lineRule="auto"/>
        <w:rPr>
          <w:rFonts w:asciiTheme="minorEastAsia" w:hAnsiTheme="minorEastAsia"/>
          <w:sz w:val="24"/>
        </w:rPr>
      </w:pPr>
      <w:r>
        <w:rPr>
          <w:rFonts w:hint="eastAsia" w:asciiTheme="minorEastAsia" w:hAnsiTheme="minorEastAsia"/>
          <w:sz w:val="24"/>
        </w:rPr>
        <w:t>3 、供应商现场服务人员应有权全权处理现场出现的一切技术和商务问题。如现场发生质量问题，供应商现场人员要在买方规定的时间内处理解决。</w:t>
      </w:r>
    </w:p>
    <w:p>
      <w:pPr>
        <w:adjustRightInd w:val="0"/>
        <w:snapToGrid w:val="0"/>
        <w:spacing w:line="360" w:lineRule="auto"/>
        <w:jc w:val="left"/>
        <w:rPr>
          <w:rFonts w:asciiTheme="minorEastAsia" w:hAnsiTheme="minorEastAsia" w:eastAsiaTheme="minorEastAsia" w:cstheme="minorEastAsia"/>
          <w:b/>
          <w:sz w:val="24"/>
        </w:rPr>
      </w:pPr>
      <w:r>
        <w:rPr>
          <w:rFonts w:hint="eastAsia" w:asciiTheme="minorEastAsia" w:hAnsiTheme="minorEastAsia" w:eastAsiaTheme="minorEastAsia" w:cstheme="minorEastAsia"/>
          <w:sz w:val="24"/>
        </w:rPr>
        <w:t>4.如产品质量和性能与标准不符时，</w:t>
      </w:r>
      <w:r>
        <w:rPr>
          <w:rFonts w:hint="eastAsia" w:asciiTheme="minorEastAsia" w:hAnsiTheme="minorEastAsia" w:cstheme="minorEastAsia"/>
          <w:sz w:val="24"/>
        </w:rPr>
        <w:t>采购</w:t>
      </w:r>
      <w:r>
        <w:rPr>
          <w:rFonts w:hint="eastAsia" w:asciiTheme="minorEastAsia" w:hAnsiTheme="minorEastAsia" w:eastAsiaTheme="minorEastAsia" w:cstheme="minorEastAsia"/>
          <w:sz w:val="24"/>
        </w:rPr>
        <w:t>方有权拒绝验收，供应商应负责修理、更换或赔偿</w:t>
      </w:r>
      <w:r>
        <w:rPr>
          <w:rFonts w:hint="eastAsia" w:asciiTheme="minorEastAsia" w:hAnsiTheme="minorEastAsia" w:cstheme="minorEastAsia"/>
          <w:sz w:val="24"/>
        </w:rPr>
        <w:t>一切损失</w:t>
      </w:r>
      <w:r>
        <w:rPr>
          <w:rFonts w:hint="eastAsia" w:asciiTheme="minorEastAsia" w:hAnsiTheme="minorEastAsia" w:eastAsiaTheme="minorEastAsia" w:cstheme="minorEastAsia"/>
          <w:sz w:val="24"/>
        </w:rPr>
        <w:t>。</w:t>
      </w:r>
    </w:p>
    <w:p>
      <w:pPr>
        <w:spacing w:line="360" w:lineRule="auto"/>
        <w:rPr>
          <w:rFonts w:ascii="宋体" w:hAnsi="宋体"/>
          <w:sz w:val="24"/>
        </w:rPr>
      </w:pPr>
      <w:r>
        <w:rPr>
          <w:rFonts w:hint="eastAsia" w:ascii="宋体" w:hAnsi="宋体"/>
          <w:sz w:val="24"/>
        </w:rPr>
        <w:t>5.质量、寿命的考核周期从备件安装在设备上算起，直到磨损报废（或失效）为止为本备件的实际寿命。</w:t>
      </w:r>
    </w:p>
    <w:p>
      <w:pPr>
        <w:pStyle w:val="12"/>
        <w:spacing w:line="360" w:lineRule="auto"/>
        <w:rPr>
          <w:rFonts w:asciiTheme="minorEastAsia" w:hAnsiTheme="minorEastAsia"/>
          <w:sz w:val="24"/>
        </w:rPr>
      </w:pPr>
      <w:r>
        <w:rPr>
          <w:rFonts w:hint="eastAsia" w:asciiTheme="minorEastAsia" w:hAnsiTheme="minorEastAsia"/>
          <w:sz w:val="24"/>
        </w:rPr>
        <w:t>6、本次采购的产品到达物资后将进行检验，一经发现是假冒伪劣产品，不是全新配件必须全部退货，因配件造成的甲方责任由供应商自己承担全部责任。</w:t>
      </w:r>
    </w:p>
    <w:p>
      <w:pPr>
        <w:pStyle w:val="12"/>
        <w:spacing w:line="360" w:lineRule="auto"/>
        <w:ind w:firstLine="480" w:firstLineChars="200"/>
        <w:rPr>
          <w:rFonts w:asciiTheme="minorEastAsia" w:hAnsiTheme="minorEastAsia"/>
          <w:color w:val="FF0000"/>
          <w:sz w:val="24"/>
        </w:rPr>
      </w:pPr>
    </w:p>
    <w:p>
      <w:pPr>
        <w:pStyle w:val="12"/>
        <w:spacing w:line="360" w:lineRule="auto"/>
        <w:ind w:firstLine="480" w:firstLineChars="200"/>
        <w:rPr>
          <w:rFonts w:asciiTheme="minorEastAsia" w:hAnsiTheme="minorEastAsia"/>
          <w:color w:val="FF0000"/>
          <w:sz w:val="24"/>
        </w:rPr>
      </w:pPr>
    </w:p>
    <w:p>
      <w:pPr>
        <w:pStyle w:val="12"/>
        <w:spacing w:line="360" w:lineRule="auto"/>
        <w:ind w:firstLine="480" w:firstLineChars="200"/>
        <w:rPr>
          <w:rFonts w:asciiTheme="minorEastAsia" w:hAnsiTheme="minorEastAsia"/>
          <w:color w:val="FF0000"/>
          <w:sz w:val="24"/>
        </w:rPr>
      </w:pPr>
    </w:p>
    <w:p>
      <w:pPr>
        <w:pStyle w:val="12"/>
        <w:spacing w:line="360" w:lineRule="auto"/>
        <w:ind w:firstLine="480" w:firstLineChars="200"/>
        <w:rPr>
          <w:rFonts w:asciiTheme="minorEastAsia" w:hAnsiTheme="minorEastAsia"/>
          <w:color w:val="FF0000"/>
          <w:sz w:val="24"/>
        </w:rPr>
      </w:pPr>
    </w:p>
    <w:p>
      <w:pPr>
        <w:pStyle w:val="12"/>
        <w:spacing w:line="360" w:lineRule="auto"/>
        <w:ind w:firstLine="480" w:firstLineChars="200"/>
        <w:rPr>
          <w:rFonts w:asciiTheme="minorEastAsia" w:hAnsiTheme="minorEastAsia"/>
          <w:color w:val="FF0000"/>
          <w:sz w:val="24"/>
        </w:rPr>
      </w:pPr>
    </w:p>
    <w:p>
      <w:pPr>
        <w:pStyle w:val="12"/>
        <w:spacing w:line="360" w:lineRule="auto"/>
        <w:ind w:firstLine="420" w:firstLineChars="200"/>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Verdana">
    <w:panose1 w:val="020B0604030504040204"/>
    <w:charset w:val="00"/>
    <w:family w:val="swiss"/>
    <w:pitch w:val="default"/>
    <w:sig w:usb0="A10006FF" w:usb1="4000205B" w:usb2="00000010" w:usb3="00000000" w:csb0="2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94EE02C"/>
    <w:multiLevelType w:val="singleLevel"/>
    <w:tmpl w:val="694EE02C"/>
    <w:lvl w:ilvl="0" w:tentative="0">
      <w:start w:val="2"/>
      <w:numFmt w:val="chineseCounting"/>
      <w:suff w:val="space"/>
      <w:lvlText w:val="第%1章"/>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F2AEB"/>
    <w:rsid w:val="00086226"/>
    <w:rsid w:val="000A7CE9"/>
    <w:rsid w:val="000C1D75"/>
    <w:rsid w:val="000D585D"/>
    <w:rsid w:val="000F2AEB"/>
    <w:rsid w:val="000F4D9C"/>
    <w:rsid w:val="001726E7"/>
    <w:rsid w:val="001819E8"/>
    <w:rsid w:val="00190388"/>
    <w:rsid w:val="00192F6B"/>
    <w:rsid w:val="001C234E"/>
    <w:rsid w:val="001F04DB"/>
    <w:rsid w:val="001F452E"/>
    <w:rsid w:val="002150CF"/>
    <w:rsid w:val="002207DA"/>
    <w:rsid w:val="0026373D"/>
    <w:rsid w:val="00284FFA"/>
    <w:rsid w:val="002938BE"/>
    <w:rsid w:val="002F5018"/>
    <w:rsid w:val="003122D0"/>
    <w:rsid w:val="00335DE9"/>
    <w:rsid w:val="00336BE6"/>
    <w:rsid w:val="00340FDE"/>
    <w:rsid w:val="00344F78"/>
    <w:rsid w:val="003453CA"/>
    <w:rsid w:val="003A320C"/>
    <w:rsid w:val="003A36BA"/>
    <w:rsid w:val="003E082D"/>
    <w:rsid w:val="00465279"/>
    <w:rsid w:val="004762AD"/>
    <w:rsid w:val="004A24D0"/>
    <w:rsid w:val="004A3CD2"/>
    <w:rsid w:val="004E3C3F"/>
    <w:rsid w:val="00500045"/>
    <w:rsid w:val="005244FB"/>
    <w:rsid w:val="00535BEB"/>
    <w:rsid w:val="005645E2"/>
    <w:rsid w:val="005A09ED"/>
    <w:rsid w:val="005A2892"/>
    <w:rsid w:val="005A4517"/>
    <w:rsid w:val="005B6375"/>
    <w:rsid w:val="005B6688"/>
    <w:rsid w:val="006729B1"/>
    <w:rsid w:val="006969CB"/>
    <w:rsid w:val="006A79F0"/>
    <w:rsid w:val="006F15F0"/>
    <w:rsid w:val="006F662A"/>
    <w:rsid w:val="00733294"/>
    <w:rsid w:val="00775DC9"/>
    <w:rsid w:val="00786D04"/>
    <w:rsid w:val="0079271D"/>
    <w:rsid w:val="007C3144"/>
    <w:rsid w:val="007D6A5B"/>
    <w:rsid w:val="00801DD6"/>
    <w:rsid w:val="008530E8"/>
    <w:rsid w:val="008A2F54"/>
    <w:rsid w:val="008F665F"/>
    <w:rsid w:val="00920AF7"/>
    <w:rsid w:val="00932B3F"/>
    <w:rsid w:val="009407DB"/>
    <w:rsid w:val="00975FB6"/>
    <w:rsid w:val="00986F8B"/>
    <w:rsid w:val="00987243"/>
    <w:rsid w:val="009B049E"/>
    <w:rsid w:val="009C1CD3"/>
    <w:rsid w:val="00A552CA"/>
    <w:rsid w:val="00A61CFD"/>
    <w:rsid w:val="00A82314"/>
    <w:rsid w:val="00A952A3"/>
    <w:rsid w:val="00AE5027"/>
    <w:rsid w:val="00B06AD3"/>
    <w:rsid w:val="00B35765"/>
    <w:rsid w:val="00B97CD3"/>
    <w:rsid w:val="00BA5243"/>
    <w:rsid w:val="00BA5D14"/>
    <w:rsid w:val="00BB482A"/>
    <w:rsid w:val="00BC4439"/>
    <w:rsid w:val="00BD1AE1"/>
    <w:rsid w:val="00BD56CB"/>
    <w:rsid w:val="00BF08B8"/>
    <w:rsid w:val="00C03DEB"/>
    <w:rsid w:val="00C2331F"/>
    <w:rsid w:val="00C27406"/>
    <w:rsid w:val="00C4616B"/>
    <w:rsid w:val="00C53129"/>
    <w:rsid w:val="00C727D6"/>
    <w:rsid w:val="00C84128"/>
    <w:rsid w:val="00CB36DE"/>
    <w:rsid w:val="00CB4F9B"/>
    <w:rsid w:val="00CF35C7"/>
    <w:rsid w:val="00CF41E5"/>
    <w:rsid w:val="00D26F20"/>
    <w:rsid w:val="00D2729A"/>
    <w:rsid w:val="00D55961"/>
    <w:rsid w:val="00DB38CA"/>
    <w:rsid w:val="00DC210C"/>
    <w:rsid w:val="00E0163D"/>
    <w:rsid w:val="00E01989"/>
    <w:rsid w:val="00E318CF"/>
    <w:rsid w:val="00E64053"/>
    <w:rsid w:val="00E73CD5"/>
    <w:rsid w:val="00E87E8C"/>
    <w:rsid w:val="00E90A60"/>
    <w:rsid w:val="00E97CC9"/>
    <w:rsid w:val="00EF349A"/>
    <w:rsid w:val="00F171C6"/>
    <w:rsid w:val="00F37BD6"/>
    <w:rsid w:val="00F74A23"/>
    <w:rsid w:val="00F908A9"/>
    <w:rsid w:val="00FA185D"/>
    <w:rsid w:val="00FD0A3E"/>
    <w:rsid w:val="03520C39"/>
    <w:rsid w:val="07514734"/>
    <w:rsid w:val="292C1631"/>
    <w:rsid w:val="397F3C2F"/>
    <w:rsid w:val="4D7F6D19"/>
    <w:rsid w:val="54E02E03"/>
    <w:rsid w:val="5B295261"/>
    <w:rsid w:val="5EA75A63"/>
    <w:rsid w:val="6C8C6493"/>
    <w:rsid w:val="7DF45131"/>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iPriority="0" w:semiHidden="0"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黑体"/>
      <w:kern w:val="2"/>
      <w:sz w:val="21"/>
      <w:szCs w:val="22"/>
      <w:lang w:val="en-US" w:eastAsia="zh-CN" w:bidi="ar-SA"/>
    </w:rPr>
  </w:style>
  <w:style w:type="paragraph" w:styleId="2">
    <w:name w:val="heading 1"/>
    <w:basedOn w:val="1"/>
    <w:next w:val="1"/>
    <w:link w:val="24"/>
    <w:qFormat/>
    <w:uiPriority w:val="0"/>
    <w:pPr>
      <w:keepNext/>
      <w:keepLines/>
      <w:spacing w:before="340" w:after="330" w:line="578" w:lineRule="auto"/>
      <w:outlineLvl w:val="0"/>
    </w:pPr>
    <w:rPr>
      <w:b/>
      <w:bCs/>
      <w:kern w:val="44"/>
      <w:sz w:val="44"/>
      <w:szCs w:val="44"/>
    </w:rPr>
  </w:style>
  <w:style w:type="character" w:default="1" w:styleId="11">
    <w:name w:val="Default Paragraph Font"/>
    <w:semiHidden/>
    <w:unhideWhenUsed/>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3">
    <w:name w:val="Plain Text"/>
    <w:basedOn w:val="1"/>
    <w:link w:val="21"/>
    <w:unhideWhenUsed/>
    <w:qFormat/>
    <w:uiPriority w:val="0"/>
    <w:rPr>
      <w:rFonts w:ascii="宋体" w:hAnsi="Courier New" w:cs="Times New Roman"/>
      <w:szCs w:val="24"/>
    </w:rPr>
  </w:style>
  <w:style w:type="paragraph" w:styleId="4">
    <w:name w:val="Balloon Text"/>
    <w:basedOn w:val="1"/>
    <w:link w:val="23"/>
    <w:semiHidden/>
    <w:unhideWhenUsed/>
    <w:qFormat/>
    <w:uiPriority w:val="99"/>
    <w:rPr>
      <w:sz w:val="18"/>
      <w:szCs w:val="18"/>
    </w:rPr>
  </w:style>
  <w:style w:type="paragraph" w:styleId="5">
    <w:name w:val="footer"/>
    <w:basedOn w:val="1"/>
    <w:link w:val="16"/>
    <w:unhideWhenUsed/>
    <w:qFormat/>
    <w:uiPriority w:val="99"/>
    <w:pPr>
      <w:tabs>
        <w:tab w:val="center" w:pos="4153"/>
        <w:tab w:val="right" w:pos="8306"/>
      </w:tabs>
      <w:snapToGrid w:val="0"/>
      <w:jc w:val="left"/>
    </w:pPr>
    <w:rPr>
      <w:sz w:val="18"/>
      <w:szCs w:val="18"/>
    </w:rPr>
  </w:style>
  <w:style w:type="paragraph" w:styleId="6">
    <w:name w:val="header"/>
    <w:basedOn w:val="1"/>
    <w:link w:val="15"/>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Normal (Web)"/>
    <w:basedOn w:val="1"/>
    <w:semiHidden/>
    <w:unhideWhenUsed/>
    <w:qFormat/>
    <w:uiPriority w:val="99"/>
    <w:pPr>
      <w:widowControl/>
      <w:spacing w:before="100" w:beforeAutospacing="1" w:after="100" w:afterAutospacing="1"/>
      <w:jc w:val="left"/>
    </w:pPr>
    <w:rPr>
      <w:rFonts w:ascii="宋体" w:hAnsi="宋体" w:cs="宋体"/>
      <w:kern w:val="0"/>
      <w:sz w:val="24"/>
      <w:szCs w:val="24"/>
    </w:rPr>
  </w:style>
  <w:style w:type="paragraph" w:styleId="8">
    <w:name w:val="Title"/>
    <w:basedOn w:val="1"/>
    <w:link w:val="13"/>
    <w:qFormat/>
    <w:uiPriority w:val="10"/>
    <w:pPr>
      <w:adjustRightInd w:val="0"/>
      <w:spacing w:before="240" w:after="60" w:line="360" w:lineRule="atLeast"/>
      <w:jc w:val="center"/>
      <w:outlineLvl w:val="0"/>
    </w:pPr>
    <w:rPr>
      <w:rFonts w:ascii="Arial" w:hAnsi="Arial" w:cs="Times New Roman"/>
      <w:b/>
      <w:kern w:val="0"/>
      <w:sz w:val="32"/>
      <w:szCs w:val="20"/>
      <w:lang w:val="zh-CN"/>
    </w:rPr>
  </w:style>
  <w:style w:type="table" w:styleId="10">
    <w:name w:val="Table Grid"/>
    <w:basedOn w:val="9"/>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styleId="12">
    <w:name w:val="No Spacing"/>
    <w:link w:val="14"/>
    <w:qFormat/>
    <w:uiPriority w:val="1"/>
    <w:pPr>
      <w:widowControl w:val="0"/>
      <w:jc w:val="both"/>
    </w:pPr>
    <w:rPr>
      <w:rFonts w:ascii="Times New Roman" w:hAnsi="Times New Roman" w:eastAsia="宋体" w:cs="Times New Roman"/>
      <w:kern w:val="2"/>
      <w:sz w:val="21"/>
      <w:szCs w:val="24"/>
      <w:lang w:val="en-US" w:eastAsia="zh-CN" w:bidi="ar-SA"/>
    </w:rPr>
  </w:style>
  <w:style w:type="character" w:customStyle="1" w:styleId="13">
    <w:name w:val="标题 Char"/>
    <w:basedOn w:val="11"/>
    <w:link w:val="8"/>
    <w:qFormat/>
    <w:uiPriority w:val="10"/>
    <w:rPr>
      <w:rFonts w:ascii="Arial" w:hAnsi="Arial" w:eastAsia="宋体" w:cs="Times New Roman"/>
      <w:b/>
      <w:kern w:val="0"/>
      <w:sz w:val="32"/>
      <w:szCs w:val="20"/>
      <w:lang w:val="zh-CN" w:eastAsia="zh-CN"/>
    </w:rPr>
  </w:style>
  <w:style w:type="character" w:customStyle="1" w:styleId="14">
    <w:name w:val="无间隔 Char"/>
    <w:link w:val="12"/>
    <w:qFormat/>
    <w:uiPriority w:val="1"/>
    <w:rPr>
      <w:rFonts w:ascii="Times New Roman" w:hAnsi="Times New Roman" w:eastAsia="宋体" w:cs="Times New Roman"/>
      <w:szCs w:val="24"/>
    </w:rPr>
  </w:style>
  <w:style w:type="character" w:customStyle="1" w:styleId="15">
    <w:name w:val="页眉 Char"/>
    <w:basedOn w:val="11"/>
    <w:link w:val="6"/>
    <w:qFormat/>
    <w:uiPriority w:val="99"/>
    <w:rPr>
      <w:rFonts w:ascii="Calibri" w:hAnsi="Calibri" w:eastAsia="宋体" w:cs="黑体"/>
      <w:sz w:val="18"/>
      <w:szCs w:val="18"/>
    </w:rPr>
  </w:style>
  <w:style w:type="character" w:customStyle="1" w:styleId="16">
    <w:name w:val="页脚 Char"/>
    <w:basedOn w:val="11"/>
    <w:link w:val="5"/>
    <w:qFormat/>
    <w:uiPriority w:val="99"/>
    <w:rPr>
      <w:rFonts w:ascii="Calibri" w:hAnsi="Calibri" w:eastAsia="宋体" w:cs="黑体"/>
      <w:sz w:val="18"/>
      <w:szCs w:val="18"/>
    </w:rPr>
  </w:style>
  <w:style w:type="paragraph" w:styleId="17">
    <w:name w:val="List Paragraph"/>
    <w:basedOn w:val="1"/>
    <w:unhideWhenUsed/>
    <w:qFormat/>
    <w:uiPriority w:val="99"/>
    <w:pPr>
      <w:ind w:firstLine="420" w:firstLineChars="200"/>
    </w:pPr>
  </w:style>
  <w:style w:type="paragraph" w:customStyle="1" w:styleId="18">
    <w:name w:val="WPSOffice手动目录 2"/>
    <w:qFormat/>
    <w:uiPriority w:val="0"/>
    <w:pPr>
      <w:ind w:left="200" w:leftChars="200"/>
    </w:pPr>
    <w:rPr>
      <w:rFonts w:ascii="Times New Roman" w:hAnsi="Times New Roman" w:eastAsia="宋体" w:cs="Times New Roman"/>
      <w:lang w:val="en-US" w:eastAsia="zh-CN" w:bidi="ar-SA"/>
    </w:rPr>
  </w:style>
  <w:style w:type="paragraph" w:customStyle="1" w:styleId="19">
    <w:name w:val="无间隔1"/>
    <w:qFormat/>
    <w:uiPriority w:val="1"/>
    <w:pPr>
      <w:widowControl w:val="0"/>
      <w:jc w:val="both"/>
    </w:pPr>
    <w:rPr>
      <w:rFonts w:ascii="Times New Roman" w:hAnsi="Times New Roman" w:eastAsia="宋体" w:cs="Times New Roman"/>
      <w:kern w:val="2"/>
      <w:sz w:val="21"/>
      <w:szCs w:val="24"/>
      <w:lang w:val="en-US" w:eastAsia="zh-CN" w:bidi="ar-SA"/>
    </w:rPr>
  </w:style>
  <w:style w:type="character" w:customStyle="1" w:styleId="20">
    <w:name w:val="纯文本 Char"/>
    <w:basedOn w:val="11"/>
    <w:link w:val="3"/>
    <w:qFormat/>
    <w:locked/>
    <w:uiPriority w:val="0"/>
    <w:rPr>
      <w:rFonts w:ascii="宋体" w:hAnsi="Courier New"/>
      <w:kern w:val="2"/>
      <w:sz w:val="21"/>
      <w:szCs w:val="24"/>
    </w:rPr>
  </w:style>
  <w:style w:type="character" w:customStyle="1" w:styleId="21">
    <w:name w:val="纯文本 Char1"/>
    <w:basedOn w:val="11"/>
    <w:link w:val="3"/>
    <w:semiHidden/>
    <w:qFormat/>
    <w:uiPriority w:val="99"/>
    <w:rPr>
      <w:rFonts w:ascii="宋体" w:hAnsi="Courier New" w:cs="Courier New"/>
      <w:kern w:val="2"/>
      <w:sz w:val="21"/>
      <w:szCs w:val="21"/>
    </w:rPr>
  </w:style>
  <w:style w:type="paragraph" w:customStyle="1" w:styleId="22">
    <w:name w:val="WPSOffice手动目录 1"/>
    <w:qFormat/>
    <w:uiPriority w:val="0"/>
    <w:rPr>
      <w:rFonts w:ascii="Times New Roman" w:hAnsi="Times New Roman" w:eastAsia="宋体" w:cs="Times New Roman"/>
      <w:lang w:val="en-US" w:eastAsia="zh-CN" w:bidi="ar-SA"/>
    </w:rPr>
  </w:style>
  <w:style w:type="character" w:customStyle="1" w:styleId="23">
    <w:name w:val="批注框文本 Char"/>
    <w:basedOn w:val="11"/>
    <w:link w:val="4"/>
    <w:semiHidden/>
    <w:qFormat/>
    <w:uiPriority w:val="99"/>
    <w:rPr>
      <w:rFonts w:cs="黑体"/>
      <w:kern w:val="2"/>
      <w:sz w:val="18"/>
      <w:szCs w:val="18"/>
    </w:rPr>
  </w:style>
  <w:style w:type="character" w:customStyle="1" w:styleId="24">
    <w:name w:val="标题 1 Char"/>
    <w:basedOn w:val="11"/>
    <w:link w:val="2"/>
    <w:qFormat/>
    <w:uiPriority w:val="0"/>
    <w:rPr>
      <w:rFonts w:cs="黑体"/>
      <w:b/>
      <w:bCs/>
      <w:kern w:val="44"/>
      <w:sz w:val="44"/>
      <w:szCs w:val="44"/>
    </w:rPr>
  </w:style>
  <w:style w:type="character" w:customStyle="1" w:styleId="25">
    <w:name w:val="font21"/>
    <w:basedOn w:val="11"/>
    <w:qFormat/>
    <w:uiPriority w:val="0"/>
    <w:rPr>
      <w:rFonts w:hint="default" w:ascii="Calibri" w:hAnsi="Calibri" w:cs="Calibri"/>
      <w:color w:val="000000"/>
      <w:sz w:val="22"/>
      <w:szCs w:val="22"/>
      <w:u w:val="none"/>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image" Target="media/image4.jpeg"/><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IT</Company>
  <Pages>11</Pages>
  <Words>581</Words>
  <Characters>3313</Characters>
  <Lines>27</Lines>
  <Paragraphs>7</Paragraphs>
  <TotalTime>4</TotalTime>
  <ScaleCrop>false</ScaleCrop>
  <LinksUpToDate>false</LinksUpToDate>
  <CharactersWithSpaces>3887</CharactersWithSpaces>
  <Application>WPS Office_11.8.2.9022_F1E327BC-269C-435d-A152-05C5408002CA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2022-01-19T02:27:00Z</dcterms:created>
  <dc:creator>李银广/BFGS/CHNG</dc:creator>
  <cp:lastModifiedBy>王蓉/BFGS/CHNG</cp:lastModifiedBy>
  <dcterms:modified xsi:type="dcterms:W3CDTF">2022-09-09T03:28:57Z</dcterms:modified>
  <cp:revision>35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2052-11.8.2.9022</vt:lpwstr>
  </property>
</Properties>
</file>