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Times New Roman"/>
          <w:b/>
          <w:bCs w:val="0"/>
          <w:kern w:val="2"/>
          <w:sz w:val="44"/>
          <w:szCs w:val="4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Times New Roman"/>
          <w:b/>
          <w:bCs w:val="0"/>
          <w:kern w:val="2"/>
          <w:sz w:val="44"/>
          <w:szCs w:val="4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Times New Roman"/>
          <w:b/>
          <w:bCs w:val="0"/>
          <w:color w:val="000000"/>
          <w:kern w:val="2"/>
          <w:sz w:val="44"/>
          <w:szCs w:val="44"/>
          <w:lang w:val="en-US" w:eastAsia="zh-CN" w:bidi="ar-SA"/>
        </w:rPr>
      </w:pPr>
      <w:r>
        <w:rPr>
          <w:rFonts w:hint="eastAsia" w:ascii="宋体" w:hAnsi="宋体" w:eastAsia="宋体" w:cs="Times New Roman"/>
          <w:b/>
          <w:bCs w:val="0"/>
          <w:kern w:val="2"/>
          <w:sz w:val="44"/>
          <w:szCs w:val="44"/>
          <w:lang w:val="en-US" w:eastAsia="zh-CN" w:bidi="ar-SA"/>
        </w:rPr>
        <w:t>华</w:t>
      </w:r>
      <w:r>
        <w:rPr>
          <w:rFonts w:hint="eastAsia" w:ascii="宋体" w:hAnsi="宋体" w:eastAsia="宋体" w:cs="Times New Roman"/>
          <w:b/>
          <w:bCs w:val="0"/>
          <w:color w:val="000000"/>
          <w:kern w:val="2"/>
          <w:sz w:val="44"/>
          <w:szCs w:val="44"/>
          <w:lang w:val="en-US" w:eastAsia="zh-CN" w:bidi="ar-SA"/>
        </w:rPr>
        <w:t>能玉环分公司2025年12月至</w:t>
      </w:r>
    </w:p>
    <w:p>
      <w:pPr>
        <w:pStyle w:val="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Times New Roman"/>
          <w:b/>
          <w:bCs w:val="0"/>
          <w:kern w:val="2"/>
          <w:sz w:val="44"/>
          <w:szCs w:val="44"/>
          <w:lang w:val="en-US" w:eastAsia="zh-CN" w:bidi="ar-SA"/>
        </w:rPr>
      </w:pPr>
      <w:r>
        <w:rPr>
          <w:rFonts w:hint="eastAsia" w:ascii="宋体" w:hAnsi="宋体" w:eastAsia="宋体" w:cs="Times New Roman"/>
          <w:b/>
          <w:bCs w:val="0"/>
          <w:color w:val="000000"/>
          <w:kern w:val="2"/>
          <w:sz w:val="44"/>
          <w:szCs w:val="44"/>
          <w:lang w:val="en-US" w:eastAsia="zh-CN" w:bidi="ar-SA"/>
        </w:rPr>
        <w:t>2026年3月脱硫石膏竞价处置方案</w:t>
      </w:r>
    </w:p>
    <w:p>
      <w:pPr>
        <w:pStyle w:val="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Times New Roman"/>
          <w:b/>
          <w:bCs w:val="0"/>
          <w:kern w:val="2"/>
          <w:sz w:val="44"/>
          <w:szCs w:val="44"/>
          <w:lang w:val="en-US" w:eastAsia="zh-CN" w:bidi="ar-SA"/>
        </w:rPr>
      </w:pPr>
    </w:p>
    <w:p>
      <w:pPr>
        <w:rPr>
          <w:rFonts w:hint="eastAsia"/>
          <w:lang w:val="en-US" w:eastAsia="zh-CN"/>
        </w:rPr>
      </w:pPr>
    </w:p>
    <w:p>
      <w:pPr>
        <w:spacing w:line="360" w:lineRule="auto"/>
        <w:ind w:left="722" w:leftChars="344" w:firstLine="2700" w:firstLineChars="750"/>
        <w:rPr>
          <w:rFonts w:ascii="仿宋_GB2312" w:hAnsi="黑体" w:eastAsia="仿宋_GB2312"/>
          <w:sz w:val="36"/>
          <w:szCs w:val="36"/>
        </w:rPr>
      </w:pPr>
    </w:p>
    <w:p>
      <w:pPr>
        <w:spacing w:line="360" w:lineRule="auto"/>
        <w:ind w:left="722" w:leftChars="344" w:firstLine="2700" w:firstLineChars="750"/>
        <w:rPr>
          <w:rFonts w:hint="eastAsia" w:ascii="宋体" w:hAnsi="宋体" w:eastAsia="宋体" w:cs="宋体"/>
          <w:sz w:val="36"/>
          <w:szCs w:val="36"/>
        </w:rPr>
      </w:pPr>
    </w:p>
    <w:p>
      <w:pPr>
        <w:spacing w:line="360" w:lineRule="auto"/>
        <w:ind w:firstLine="2880" w:firstLineChars="800"/>
        <w:rPr>
          <w:rFonts w:hint="eastAsia" w:ascii="宋体" w:hAnsi="宋体" w:eastAsia="宋体" w:cs="宋体"/>
          <w:sz w:val="36"/>
          <w:szCs w:val="36"/>
          <w:u w:val="single"/>
        </w:rPr>
      </w:pPr>
      <w:r>
        <w:rPr>
          <w:rFonts w:hint="eastAsia" w:ascii="宋体" w:hAnsi="宋体" w:eastAsia="宋体" w:cs="宋体"/>
          <w:sz w:val="36"/>
          <w:szCs w:val="36"/>
        </w:rPr>
        <w:t>批准：</w:t>
      </w:r>
      <w:r>
        <w:rPr>
          <w:rFonts w:hint="eastAsia" w:ascii="宋体" w:hAnsi="宋体" w:eastAsia="宋体" w:cs="宋体"/>
          <w:sz w:val="36"/>
          <w:szCs w:val="36"/>
          <w:u w:val="single"/>
        </w:rPr>
        <w:t xml:space="preserve">               </w:t>
      </w:r>
    </w:p>
    <w:p>
      <w:pPr>
        <w:spacing w:line="360" w:lineRule="auto"/>
        <w:rPr>
          <w:rFonts w:hint="eastAsia" w:ascii="宋体" w:hAnsi="宋体" w:eastAsia="宋体" w:cs="宋体"/>
          <w:sz w:val="36"/>
          <w:szCs w:val="36"/>
          <w:u w:val="single"/>
        </w:rPr>
      </w:pPr>
    </w:p>
    <w:p>
      <w:pPr>
        <w:spacing w:line="360" w:lineRule="auto"/>
        <w:ind w:firstLine="2880" w:firstLineChars="800"/>
        <w:rPr>
          <w:rFonts w:hint="eastAsia" w:ascii="宋体" w:hAnsi="宋体" w:eastAsia="宋体" w:cs="宋体"/>
          <w:sz w:val="36"/>
          <w:szCs w:val="36"/>
          <w:u w:val="single"/>
        </w:rPr>
      </w:pPr>
      <w:r>
        <w:rPr>
          <w:rFonts w:hint="eastAsia" w:ascii="宋体" w:hAnsi="宋体" w:eastAsia="宋体" w:cs="宋体"/>
          <w:sz w:val="36"/>
          <w:szCs w:val="36"/>
        </w:rPr>
        <w:t>审核：</w:t>
      </w:r>
      <w:r>
        <w:rPr>
          <w:rFonts w:hint="eastAsia" w:ascii="宋体" w:hAnsi="宋体" w:eastAsia="宋体" w:cs="宋体"/>
          <w:sz w:val="36"/>
          <w:szCs w:val="36"/>
          <w:u w:val="single"/>
        </w:rPr>
        <w:t xml:space="preserve">               </w:t>
      </w:r>
    </w:p>
    <w:p>
      <w:pPr>
        <w:spacing w:line="360" w:lineRule="auto"/>
        <w:ind w:left="722" w:leftChars="344" w:firstLine="2700" w:firstLineChars="750"/>
        <w:rPr>
          <w:rFonts w:hint="eastAsia" w:ascii="宋体" w:hAnsi="宋体" w:eastAsia="宋体" w:cs="宋体"/>
          <w:sz w:val="36"/>
          <w:szCs w:val="36"/>
          <w:u w:val="single"/>
        </w:rPr>
      </w:pPr>
    </w:p>
    <w:p>
      <w:pPr>
        <w:spacing w:line="360" w:lineRule="auto"/>
        <w:ind w:firstLine="2880" w:firstLineChars="800"/>
        <w:rPr>
          <w:rFonts w:hint="eastAsia" w:ascii="宋体" w:hAnsi="宋体" w:eastAsia="宋体" w:cs="宋体"/>
          <w:sz w:val="36"/>
          <w:szCs w:val="36"/>
          <w:u w:val="single"/>
        </w:rPr>
      </w:pPr>
      <w:r>
        <w:rPr>
          <w:rFonts w:hint="eastAsia" w:ascii="宋体" w:hAnsi="宋体" w:eastAsia="宋体" w:cs="宋体"/>
          <w:sz w:val="36"/>
          <w:szCs w:val="36"/>
        </w:rPr>
        <w:t>编制：</w:t>
      </w:r>
      <w:r>
        <w:rPr>
          <w:rFonts w:hint="eastAsia" w:ascii="宋体" w:hAnsi="宋体" w:eastAsia="宋体" w:cs="宋体"/>
          <w:sz w:val="36"/>
          <w:szCs w:val="36"/>
          <w:u w:val="single"/>
        </w:rPr>
        <w:t xml:space="preserve">               </w:t>
      </w:r>
    </w:p>
    <w:p>
      <w:pPr>
        <w:spacing w:line="360" w:lineRule="auto"/>
        <w:ind w:left="720" w:hanging="720" w:hangingChars="200"/>
        <w:jc w:val="center"/>
        <w:rPr>
          <w:rFonts w:hint="eastAsia" w:ascii="宋体" w:hAnsi="宋体" w:eastAsia="宋体" w:cs="宋体"/>
          <w:sz w:val="36"/>
          <w:szCs w:val="36"/>
        </w:rPr>
      </w:pPr>
    </w:p>
    <w:p>
      <w:pPr>
        <w:spacing w:line="360" w:lineRule="auto"/>
        <w:ind w:left="720" w:hanging="720" w:hangingChars="200"/>
        <w:jc w:val="center"/>
        <w:rPr>
          <w:rFonts w:ascii="仿宋_GB2312" w:hAnsi="黑体" w:eastAsia="仿宋_GB2312"/>
          <w:sz w:val="36"/>
          <w:szCs w:val="36"/>
        </w:rPr>
      </w:pPr>
    </w:p>
    <w:p>
      <w:pPr>
        <w:pStyle w:val="4"/>
      </w:pPr>
    </w:p>
    <w:p>
      <w:pPr>
        <w:pStyle w:val="4"/>
      </w:pPr>
    </w:p>
    <w:p>
      <w:pPr>
        <w:jc w:val="center"/>
        <w:rPr>
          <w:rFonts w:hint="eastAsia" w:ascii="宋体" w:hAnsi="宋体" w:eastAsia="宋体" w:cs="宋体"/>
          <w:sz w:val="36"/>
          <w:szCs w:val="36"/>
        </w:rPr>
      </w:pPr>
      <w:r>
        <w:rPr>
          <w:rFonts w:hint="eastAsia" w:ascii="宋体" w:hAnsi="宋体" w:cs="宋体"/>
          <w:sz w:val="36"/>
          <w:szCs w:val="36"/>
          <w:lang w:val="en-US" w:eastAsia="zh-CN"/>
        </w:rPr>
        <w:t xml:space="preserve">   </w:t>
      </w:r>
      <w:r>
        <w:rPr>
          <w:rFonts w:hint="eastAsia" w:ascii="宋体" w:hAnsi="宋体" w:eastAsia="宋体" w:cs="宋体"/>
          <w:sz w:val="36"/>
          <w:szCs w:val="36"/>
        </w:rPr>
        <w:t>202</w:t>
      </w:r>
      <w:r>
        <w:rPr>
          <w:rFonts w:hint="eastAsia" w:ascii="宋体" w:hAnsi="宋体" w:eastAsia="宋体" w:cs="宋体"/>
          <w:sz w:val="36"/>
          <w:szCs w:val="36"/>
          <w:lang w:val="en-US" w:eastAsia="zh-CN"/>
        </w:rPr>
        <w:t>5</w:t>
      </w:r>
      <w:r>
        <w:rPr>
          <w:rFonts w:hint="eastAsia" w:ascii="宋体" w:hAnsi="宋体" w:eastAsia="宋体" w:cs="宋体"/>
          <w:sz w:val="36"/>
          <w:szCs w:val="36"/>
        </w:rPr>
        <w:t>年</w:t>
      </w:r>
      <w:r>
        <w:rPr>
          <w:rFonts w:hint="eastAsia" w:ascii="宋体" w:hAnsi="宋体" w:eastAsia="宋体" w:cs="宋体"/>
          <w:sz w:val="36"/>
          <w:szCs w:val="36"/>
          <w:lang w:val="en-US" w:eastAsia="zh-CN"/>
        </w:rPr>
        <w:t>1</w:t>
      </w:r>
      <w:r>
        <w:rPr>
          <w:rFonts w:hint="eastAsia" w:ascii="宋体" w:hAnsi="宋体" w:cs="宋体"/>
          <w:sz w:val="36"/>
          <w:szCs w:val="36"/>
          <w:lang w:val="en-US" w:eastAsia="zh-CN"/>
        </w:rPr>
        <w:t>2</w:t>
      </w:r>
      <w:r>
        <w:rPr>
          <w:rFonts w:hint="eastAsia" w:ascii="宋体" w:hAnsi="宋体" w:eastAsia="宋体" w:cs="宋体"/>
          <w:sz w:val="36"/>
          <w:szCs w:val="36"/>
        </w:rPr>
        <w:t>月</w:t>
      </w:r>
    </w:p>
    <w:p>
      <w:pPr>
        <w:pStyle w:val="2"/>
        <w:rPr>
          <w:rFonts w:hint="eastAsia" w:ascii="宋体" w:hAnsi="宋体" w:eastAsia="宋体" w:cs="宋体"/>
          <w:sz w:val="36"/>
          <w:szCs w:val="36"/>
        </w:rPr>
      </w:pPr>
    </w:p>
    <w:p>
      <w:pPr>
        <w:pStyle w:val="3"/>
        <w:keepNext w:val="0"/>
        <w:keepLines w:val="0"/>
        <w:pageBreakBefore w:val="0"/>
        <w:widowControl w:val="0"/>
        <w:kinsoku/>
        <w:wordWrap/>
        <w:overflowPunct/>
        <w:topLinePunct w:val="0"/>
        <w:autoSpaceDE/>
        <w:autoSpaceDN/>
        <w:bidi w:val="0"/>
        <w:adjustRightInd/>
        <w:snapToGrid/>
        <w:spacing w:before="100" w:after="0" w:line="360" w:lineRule="auto"/>
        <w:jc w:val="center"/>
        <w:textAlignment w:val="auto"/>
        <w:rPr>
          <w:rFonts w:hint="eastAsia" w:ascii="宋体" w:hAnsi="宋体" w:eastAsia="宋体" w:cs="Times New Roman"/>
          <w:b/>
          <w:sz w:val="36"/>
          <w:szCs w:val="36"/>
          <w:highlight w:val="none"/>
          <w:lang w:val="en-US" w:eastAsia="zh-CN"/>
        </w:rPr>
      </w:pPr>
      <w:r>
        <w:rPr>
          <w:rFonts w:hint="eastAsia" w:ascii="宋体" w:hAnsi="宋体"/>
          <w:b/>
          <w:sz w:val="36"/>
          <w:szCs w:val="36"/>
          <w:highlight w:val="none"/>
          <w:lang w:val="en-US" w:eastAsia="zh-CN"/>
        </w:rPr>
        <w:t>华能玉环分公</w:t>
      </w:r>
      <w:r>
        <w:rPr>
          <w:rFonts w:hint="eastAsia" w:ascii="宋体" w:hAnsi="宋体" w:eastAsia="宋体" w:cs="Times New Roman"/>
          <w:b/>
          <w:sz w:val="36"/>
          <w:szCs w:val="36"/>
          <w:highlight w:val="none"/>
          <w:lang w:val="en-US" w:eastAsia="zh-CN"/>
        </w:rPr>
        <w:t>司2025年12月至2026年3月</w:t>
      </w:r>
    </w:p>
    <w:p>
      <w:pPr>
        <w:pStyle w:val="3"/>
        <w:keepNext w:val="0"/>
        <w:keepLines w:val="0"/>
        <w:pageBreakBefore w:val="0"/>
        <w:widowControl w:val="0"/>
        <w:kinsoku/>
        <w:wordWrap/>
        <w:overflowPunct/>
        <w:topLinePunct w:val="0"/>
        <w:autoSpaceDE/>
        <w:autoSpaceDN/>
        <w:bidi w:val="0"/>
        <w:adjustRightInd/>
        <w:snapToGrid/>
        <w:spacing w:before="100" w:after="0" w:line="360" w:lineRule="auto"/>
        <w:jc w:val="center"/>
        <w:textAlignment w:val="auto"/>
        <w:rPr>
          <w:rFonts w:hint="eastAsia" w:ascii="宋体" w:hAnsi="宋体" w:eastAsia="宋体"/>
          <w:b/>
          <w:sz w:val="36"/>
          <w:szCs w:val="36"/>
          <w:lang w:eastAsia="zh-CN"/>
        </w:rPr>
      </w:pPr>
      <w:r>
        <w:rPr>
          <w:rFonts w:hint="eastAsia" w:ascii="宋体" w:hAnsi="宋体" w:eastAsia="宋体" w:cs="Times New Roman"/>
          <w:b/>
          <w:sz w:val="36"/>
          <w:szCs w:val="36"/>
          <w:highlight w:val="none"/>
          <w:lang w:val="en-US" w:eastAsia="zh-CN"/>
        </w:rPr>
        <w:t>脱硫石膏竞价处置方</w:t>
      </w:r>
      <w:r>
        <w:rPr>
          <w:rFonts w:hint="eastAsia" w:ascii="宋体" w:hAnsi="宋体"/>
          <w:b/>
          <w:sz w:val="36"/>
          <w:szCs w:val="36"/>
          <w:lang w:eastAsia="zh-CN"/>
        </w:rPr>
        <w:t>案</w:t>
      </w:r>
    </w:p>
    <w:p>
      <w:pPr>
        <w:adjustRightInd w:val="0"/>
        <w:snapToGrid w:val="0"/>
        <w:spacing w:line="360" w:lineRule="auto"/>
        <w:ind w:firstLine="562" w:firstLineChars="200"/>
        <w:rPr>
          <w:rFonts w:hint="eastAsia" w:ascii="宋体" w:hAnsi="宋体" w:eastAsia="宋体"/>
          <w:b/>
          <w:sz w:val="28"/>
          <w:szCs w:val="28"/>
          <w:lang w:eastAsia="zh-CN"/>
        </w:rPr>
      </w:pPr>
      <w:r>
        <w:rPr>
          <w:rFonts w:hint="eastAsia" w:ascii="宋体" w:hAnsi="宋体"/>
          <w:b/>
          <w:sz w:val="28"/>
          <w:szCs w:val="28"/>
          <w:lang w:val="en-US" w:eastAsia="zh-CN"/>
        </w:rPr>
        <w:t>一、销售范围</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本次竞价销售处置范围为2025年12月至2026年3月脱硫石膏销售处置，含华能玉环</w:t>
      </w:r>
      <w:bookmarkStart w:id="0" w:name="_GoBack"/>
      <w:bookmarkEnd w:id="0"/>
      <w:r>
        <w:rPr>
          <w:rFonts w:hint="eastAsia" w:ascii="新宋体" w:hAnsi="新宋体" w:eastAsia="新宋体" w:cs="新宋体"/>
          <w:sz w:val="28"/>
          <w:szCs w:val="28"/>
          <w:lang w:val="en-US" w:eastAsia="zh-CN"/>
        </w:rPr>
        <w:t>分公司1-4机组生产所产生的除正常销售、处置以外的脱硫石膏。预计销售处置总量为10.6万吨，分四个标段，每个标段2.65万吨，最终根据实际销售处置量据实结算。销售处置时间为合同签订后至2026年3月25日。</w:t>
      </w:r>
    </w:p>
    <w:p>
      <w:pPr>
        <w:numPr>
          <w:ilvl w:val="0"/>
          <w:numId w:val="1"/>
        </w:numPr>
        <w:adjustRightInd w:val="0"/>
        <w:snapToGrid w:val="0"/>
        <w:spacing w:line="360" w:lineRule="auto"/>
        <w:ind w:left="-142" w:leftChars="0" w:firstLine="562" w:firstLineChars="0"/>
        <w:rPr>
          <w:rFonts w:hint="eastAsia" w:ascii="宋体" w:hAnsi="宋体"/>
          <w:b/>
          <w:sz w:val="28"/>
          <w:szCs w:val="28"/>
          <w:lang w:val="en-US" w:eastAsia="zh-CN"/>
        </w:rPr>
      </w:pPr>
      <w:r>
        <w:rPr>
          <w:rFonts w:hint="eastAsia" w:ascii="宋体" w:hAnsi="宋体"/>
          <w:b/>
          <w:sz w:val="28"/>
          <w:szCs w:val="28"/>
          <w:lang w:val="en-US" w:eastAsia="zh-CN"/>
        </w:rPr>
        <w:t>竞价方式</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新宋体" w:hAnsi="新宋体" w:eastAsia="新宋体" w:cs="新宋体"/>
          <w:sz w:val="28"/>
          <w:szCs w:val="28"/>
          <w:lang w:val="en-US" w:eastAsia="zh-CN"/>
        </w:rPr>
      </w:pPr>
      <w:r>
        <w:rPr>
          <w:rFonts w:hint="eastAsia" w:eastAsia="宋体" w:cs="Times New Roman"/>
          <w:sz w:val="28"/>
          <w:szCs w:val="28"/>
          <w:highlight w:val="none"/>
          <w:lang w:eastAsia="zh-CN"/>
        </w:rPr>
        <w:t>本次竞</w:t>
      </w:r>
      <w:r>
        <w:rPr>
          <w:rFonts w:hint="eastAsia"/>
          <w:sz w:val="28"/>
          <w:szCs w:val="28"/>
          <w:highlight w:val="none"/>
          <w:lang w:eastAsia="zh-CN"/>
        </w:rPr>
        <w:t>价最高限价为</w:t>
      </w:r>
      <w:r>
        <w:rPr>
          <w:rFonts w:hint="eastAsia"/>
          <w:color w:val="FF0000"/>
          <w:sz w:val="28"/>
          <w:szCs w:val="28"/>
          <w:highlight w:val="none"/>
          <w:lang w:val="en-US" w:eastAsia="zh-CN"/>
        </w:rPr>
        <w:t>45元/吨，</w:t>
      </w:r>
      <w:r>
        <w:rPr>
          <w:rFonts w:hint="eastAsia"/>
          <w:sz w:val="28"/>
          <w:szCs w:val="28"/>
          <w:highlight w:val="none"/>
          <w:lang w:val="en-US" w:eastAsia="zh-CN"/>
        </w:rPr>
        <w:t>采用一次性封闭报价方式</w:t>
      </w:r>
      <w:r>
        <w:rPr>
          <w:rFonts w:hint="eastAsia" w:ascii="新宋体" w:hAnsi="新宋体" w:eastAsia="新宋体" w:cs="新宋体"/>
          <w:sz w:val="28"/>
          <w:szCs w:val="28"/>
          <w:lang w:val="en-US" w:eastAsia="zh-CN"/>
        </w:rPr>
        <w:t>。</w:t>
      </w:r>
    </w:p>
    <w:p>
      <w:pPr>
        <w:numPr>
          <w:ilvl w:val="0"/>
          <w:numId w:val="1"/>
        </w:numPr>
        <w:adjustRightInd w:val="0"/>
        <w:snapToGrid w:val="0"/>
        <w:spacing w:line="360" w:lineRule="auto"/>
        <w:ind w:left="-142" w:leftChars="0" w:firstLine="562" w:firstLineChars="0"/>
        <w:rPr>
          <w:rFonts w:hint="eastAsia" w:ascii="宋体" w:hAnsi="宋体"/>
          <w:b/>
          <w:sz w:val="28"/>
          <w:szCs w:val="28"/>
          <w:lang w:val="en-US" w:eastAsia="zh-CN"/>
        </w:rPr>
      </w:pPr>
      <w:r>
        <w:rPr>
          <w:rFonts w:hint="eastAsia" w:ascii="宋体" w:hAnsi="宋体"/>
          <w:b/>
          <w:sz w:val="28"/>
          <w:szCs w:val="28"/>
          <w:lang w:val="en-US" w:eastAsia="zh-CN"/>
        </w:rPr>
        <w:t>资格条件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宋体" w:hAnsi="宋体"/>
          <w:b/>
          <w:sz w:val="28"/>
          <w:szCs w:val="28"/>
          <w:highlight w:val="none"/>
          <w:lang w:val="en-US" w:eastAsia="zh-CN"/>
        </w:rPr>
      </w:pPr>
      <w:r>
        <w:rPr>
          <w:rFonts w:hint="eastAsia" w:ascii="宋体" w:hAnsi="宋体" w:eastAsia="宋体" w:cs="Times New Roman"/>
          <w:b w:val="0"/>
          <w:kern w:val="2"/>
          <w:sz w:val="28"/>
          <w:szCs w:val="28"/>
          <w:highlight w:val="none"/>
          <w:lang w:val="en-US" w:eastAsia="zh-CN" w:bidi="ar-SA"/>
        </w:rPr>
        <w:t>本项目竞价前须签订并提交《发电副产品合规销售综合利用承诺书》，且必须提供终端处置企业营业执照、环评批复文件一份，未签订该承诺书的竞价申请人不予通过报名审核</w:t>
      </w:r>
      <w:r>
        <w:rPr>
          <w:rFonts w:hint="eastAsia" w:ascii="新宋体" w:hAnsi="新宋体" w:eastAsia="新宋体" w:cs="新宋体"/>
          <w:sz w:val="28"/>
          <w:szCs w:val="28"/>
          <w:highlight w:val="none"/>
          <w:lang w:val="en-US" w:eastAsia="zh-CN"/>
        </w:rPr>
        <w:t>。</w:t>
      </w:r>
    </w:p>
    <w:p>
      <w:pPr>
        <w:numPr>
          <w:ilvl w:val="0"/>
          <w:numId w:val="1"/>
        </w:numPr>
        <w:adjustRightInd w:val="0"/>
        <w:snapToGrid w:val="0"/>
        <w:spacing w:line="360" w:lineRule="auto"/>
        <w:ind w:left="-142" w:leftChars="0" w:firstLine="562" w:firstLineChars="0"/>
        <w:rPr>
          <w:rFonts w:hint="eastAsia" w:ascii="宋体" w:hAnsi="宋体" w:eastAsia="宋体" w:cs="Times New Roman"/>
          <w:b/>
          <w:sz w:val="28"/>
          <w:szCs w:val="28"/>
          <w:lang w:val="en-US" w:eastAsia="zh-CN"/>
        </w:rPr>
      </w:pPr>
      <w:r>
        <w:rPr>
          <w:rFonts w:hint="eastAsia" w:ascii="宋体" w:hAnsi="宋体" w:eastAsia="宋体" w:cs="Times New Roman"/>
          <w:b/>
          <w:sz w:val="28"/>
          <w:szCs w:val="28"/>
          <w:lang w:val="en-US" w:eastAsia="zh-CN"/>
        </w:rPr>
        <w:t>竞价须知</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b/>
          <w:bCs/>
          <w:sz w:val="28"/>
          <w:szCs w:val="28"/>
          <w:highlight w:val="none"/>
        </w:rPr>
      </w:pPr>
      <w:r>
        <w:rPr>
          <w:rFonts w:hint="eastAsia"/>
          <w:sz w:val="28"/>
          <w:szCs w:val="28"/>
          <w:highlight w:val="none"/>
        </w:rPr>
        <w:t>（一）所有竞价申请人均在中国华能集团电子商务平台进行报名，上传报名文件（含:</w:t>
      </w:r>
      <w:r>
        <w:rPr>
          <w:rFonts w:hint="eastAsia" w:eastAsia="宋体" w:cs="Times New Roman"/>
          <w:b/>
          <w:bCs/>
          <w:sz w:val="28"/>
          <w:szCs w:val="28"/>
          <w:highlight w:val="none"/>
        </w:rPr>
        <w:t>《发电</w:t>
      </w:r>
      <w:r>
        <w:rPr>
          <w:rFonts w:hint="eastAsia"/>
          <w:b/>
          <w:bCs/>
          <w:sz w:val="28"/>
          <w:szCs w:val="28"/>
          <w:highlight w:val="none"/>
        </w:rPr>
        <w:t>副产品需求申购表</w:t>
      </w:r>
      <w:r>
        <w:rPr>
          <w:rFonts w:hint="eastAsia"/>
          <w:sz w:val="28"/>
          <w:szCs w:val="28"/>
          <w:highlight w:val="none"/>
        </w:rPr>
        <w:t>》</w:t>
      </w:r>
      <w:r>
        <w:rPr>
          <w:rFonts w:hint="eastAsia" w:eastAsia="宋体" w:cs="Times New Roman"/>
          <w:b/>
          <w:bCs/>
          <w:sz w:val="28"/>
          <w:szCs w:val="28"/>
          <w:highlight w:val="none"/>
        </w:rPr>
        <w:t>,</w:t>
      </w:r>
      <w:r>
        <w:rPr>
          <w:rFonts w:hint="eastAsia" w:eastAsia="宋体" w:cs="Times New Roman"/>
          <w:b/>
          <w:bCs/>
          <w:sz w:val="28"/>
          <w:szCs w:val="28"/>
          <w:highlight w:val="none"/>
          <w:lang w:val="en-US" w:eastAsia="zh-CN"/>
        </w:rPr>
        <w:t>《发电副产品合规销售综合利用承诺书》、《现场踏勘确认书》、</w:t>
      </w:r>
      <w:r>
        <w:rPr>
          <w:rFonts w:hint="eastAsia" w:eastAsia="宋体" w:cs="Times New Roman"/>
          <w:b/>
          <w:bCs/>
          <w:sz w:val="28"/>
          <w:szCs w:val="28"/>
          <w:highlight w:val="none"/>
        </w:rPr>
        <w:t>企业营业执照扫描件、</w:t>
      </w:r>
      <w:r>
        <w:rPr>
          <w:rFonts w:hint="eastAsia"/>
          <w:b/>
          <w:bCs/>
          <w:sz w:val="28"/>
          <w:szCs w:val="28"/>
          <w:highlight w:val="none"/>
          <w:lang w:eastAsia="zh-CN"/>
        </w:rPr>
        <w:t>终端处置资质证明</w:t>
      </w:r>
      <w:r>
        <w:rPr>
          <w:rFonts w:hint="eastAsia"/>
          <w:sz w:val="28"/>
          <w:szCs w:val="28"/>
          <w:highlight w:val="none"/>
          <w:lang w:eastAsia="zh-CN"/>
        </w:rPr>
        <w:t>；</w:t>
      </w:r>
      <w:r>
        <w:rPr>
          <w:rFonts w:hint="eastAsia"/>
          <w:sz w:val="28"/>
          <w:szCs w:val="28"/>
          <w:highlight w:val="none"/>
        </w:rPr>
        <w:t>法定代表人身份证扫描件、法定代表人授权委托书扫描件、授权代理人身份证扫描件等相关资料），此次竞价不接受其他渠道方式报名。</w:t>
      </w:r>
      <w:r>
        <w:rPr>
          <w:rFonts w:hint="eastAsia" w:ascii="宋体" w:hAnsi="宋体" w:eastAsia="宋体" w:cs="Times New Roman"/>
          <w:b/>
          <w:bCs/>
          <w:kern w:val="2"/>
          <w:sz w:val="28"/>
          <w:szCs w:val="28"/>
          <w:highlight w:val="none"/>
          <w:lang w:val="en-US" w:eastAsia="zh-CN" w:bidi="ar-SA"/>
        </w:rPr>
        <w:t>本项目必须现场踏勘，未现场踏勘的竞价申请人不予通过报名审核。</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8"/>
          <w:szCs w:val="28"/>
          <w:highlight w:val="none"/>
        </w:rPr>
      </w:pPr>
      <w:r>
        <w:rPr>
          <w:rFonts w:hint="eastAsia"/>
          <w:sz w:val="28"/>
          <w:szCs w:val="28"/>
          <w:highlight w:val="none"/>
        </w:rPr>
        <w:t>（二）</w:t>
      </w:r>
      <w:r>
        <w:rPr>
          <w:rFonts w:hint="eastAsia" w:ascii="宋体" w:hAnsi="宋体" w:eastAsia="宋体" w:cs="宋体"/>
          <w:sz w:val="28"/>
          <w:szCs w:val="28"/>
          <w:highlight w:val="none"/>
        </w:rPr>
        <w:t>本次竞价在中国华能集团电子商务平台进行（网址http://ec.chng.com.cn/channel/home/#/）。</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竞价报名时间:</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8"/>
          <w:szCs w:val="28"/>
        </w:rPr>
      </w:pPr>
      <w:r>
        <w:rPr>
          <w:rFonts w:hint="eastAsia" w:ascii="宋体" w:hAnsi="宋体" w:eastAsia="宋体" w:cs="宋体"/>
          <w:sz w:val="28"/>
          <w:szCs w:val="28"/>
        </w:rPr>
        <w:t>竞价开始时间：</w:t>
      </w:r>
      <w:r>
        <w:rPr>
          <w:rFonts w:hint="eastAsia" w:ascii="宋体" w:hAnsi="宋体" w:eastAsia="宋体" w:cs="宋体"/>
          <w:sz w:val="28"/>
          <w:szCs w:val="28"/>
          <w:lang w:val="en-US" w:eastAsia="zh-CN"/>
        </w:rPr>
        <w:t>********</w:t>
      </w:r>
      <w:r>
        <w:rPr>
          <w:rFonts w:hint="eastAsia" w:ascii="宋体" w:hAnsi="宋体" w:eastAsia="宋体" w:cs="宋体"/>
          <w:sz w:val="28"/>
          <w:szCs w:val="28"/>
        </w:rPr>
        <w:t>（最终以平台上公布的时间为准）。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s="Times New Roman"/>
          <w:sz w:val="28"/>
          <w:szCs w:val="28"/>
        </w:rPr>
      </w:pPr>
      <w:r>
        <w:rPr>
          <w:rFonts w:hint="eastAsia" w:eastAsia="宋体" w:cs="Times New Roman"/>
          <w:sz w:val="28"/>
          <w:szCs w:val="28"/>
        </w:rPr>
        <w:t>（三）参与此次竞价报名的竞价申请人须符合本文件第二项“竞价人资格要求”规定，通过资格审查方可参与竞价。</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（四）竞价规则</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rPr>
      </w:pPr>
      <w:r>
        <w:rPr>
          <w:rFonts w:hint="eastAsia"/>
          <w:color w:val="auto"/>
          <w:sz w:val="28"/>
          <w:szCs w:val="28"/>
          <w:highlight w:val="none"/>
          <w:lang w:val="en-US" w:eastAsia="zh-CN"/>
        </w:rPr>
        <w:t>1</w:t>
      </w:r>
      <w:r>
        <w:rPr>
          <w:rFonts w:hint="eastAsia"/>
          <w:color w:val="auto"/>
          <w:sz w:val="28"/>
          <w:szCs w:val="28"/>
          <w:highlight w:val="none"/>
        </w:rPr>
        <w:t>.本次竞价产品为</w:t>
      </w:r>
      <w:r>
        <w:rPr>
          <w:rFonts w:hint="eastAsia"/>
          <w:i w:val="0"/>
          <w:iCs w:val="0"/>
          <w:color w:val="auto"/>
          <w:sz w:val="28"/>
          <w:szCs w:val="28"/>
          <w:highlight w:val="none"/>
          <w:lang w:eastAsia="zh-CN"/>
        </w:rPr>
        <w:t>脱硫石膏</w:t>
      </w:r>
      <w:r>
        <w:rPr>
          <w:rFonts w:hint="eastAsia"/>
          <w:i w:val="0"/>
          <w:iCs w:val="0"/>
          <w:color w:val="auto"/>
          <w:sz w:val="28"/>
          <w:szCs w:val="28"/>
          <w:highlight w:val="none"/>
        </w:rPr>
        <w:t>，</w:t>
      </w:r>
      <w:r>
        <w:rPr>
          <w:rFonts w:hint="eastAsia"/>
          <w:i w:val="0"/>
          <w:iCs w:val="0"/>
          <w:color w:val="auto"/>
          <w:sz w:val="28"/>
          <w:szCs w:val="28"/>
          <w:highlight w:val="none"/>
          <w:lang w:eastAsia="zh-CN"/>
        </w:rPr>
        <w:t>实际</w:t>
      </w:r>
      <w:r>
        <w:rPr>
          <w:rFonts w:hint="eastAsia"/>
          <w:color w:val="auto"/>
          <w:sz w:val="28"/>
          <w:szCs w:val="28"/>
          <w:highlight w:val="none"/>
        </w:rPr>
        <w:t>申报单价以竞价报名时通过电子商务平台上传签字盖章的《发电副产品需求申购表》为准（格式见附件1），未上传《发电副产品需求申购表》的竞价视为无效竞价。</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s="Times New Roman"/>
          <w:color w:val="auto"/>
          <w:sz w:val="28"/>
          <w:szCs w:val="28"/>
          <w:highlight w:val="none"/>
        </w:rPr>
      </w:pPr>
      <w:r>
        <w:rPr>
          <w:rFonts w:hint="eastAsia" w:eastAsia="宋体" w:cs="Times New Roman"/>
          <w:color w:val="auto"/>
          <w:sz w:val="28"/>
          <w:szCs w:val="28"/>
          <w:highlight w:val="none"/>
          <w:lang w:val="en-US" w:eastAsia="zh-CN"/>
        </w:rPr>
        <w:t>2.</w:t>
      </w:r>
      <w:r>
        <w:rPr>
          <w:rFonts w:hint="eastAsia" w:eastAsia="宋体" w:cs="Times New Roman"/>
          <w:color w:val="auto"/>
          <w:sz w:val="28"/>
          <w:szCs w:val="28"/>
          <w:highlight w:val="none"/>
          <w:lang w:eastAsia="zh-CN"/>
        </w:rPr>
        <w:t>竞价申请人</w:t>
      </w:r>
      <w:r>
        <w:rPr>
          <w:rFonts w:hint="eastAsia" w:eastAsia="宋体" w:cs="Times New Roman"/>
          <w:color w:val="auto"/>
          <w:sz w:val="28"/>
          <w:szCs w:val="28"/>
          <w:highlight w:val="none"/>
        </w:rPr>
        <w:t>在限定的时间内申报需求单价</w:t>
      </w:r>
      <w:r>
        <w:rPr>
          <w:rFonts w:hint="eastAsia" w:eastAsia="宋体" w:cs="Times New Roman"/>
          <w:color w:val="auto"/>
          <w:sz w:val="28"/>
          <w:szCs w:val="28"/>
          <w:highlight w:val="none"/>
          <w:lang w:eastAsia="zh-CN"/>
        </w:rPr>
        <w:t>和合同预估总价，</w:t>
      </w:r>
      <w:r>
        <w:rPr>
          <w:rFonts w:hint="eastAsia" w:eastAsia="宋体" w:cs="Times New Roman"/>
          <w:color w:val="auto"/>
          <w:sz w:val="28"/>
          <w:szCs w:val="28"/>
          <w:highlight w:val="none"/>
        </w:rPr>
        <w:t>超期未报视为自动放弃；各</w:t>
      </w:r>
      <w:r>
        <w:rPr>
          <w:rFonts w:hint="eastAsia" w:eastAsia="宋体" w:cs="Times New Roman"/>
          <w:color w:val="auto"/>
          <w:sz w:val="28"/>
          <w:szCs w:val="28"/>
          <w:highlight w:val="none"/>
          <w:lang w:eastAsia="zh-CN"/>
        </w:rPr>
        <w:t>竞价申请人申报单价不得高于最高限价</w:t>
      </w:r>
      <w:r>
        <w:rPr>
          <w:rFonts w:hint="eastAsia" w:eastAsia="宋体" w:cs="Times New Roman"/>
          <w:color w:val="auto"/>
          <w:sz w:val="28"/>
          <w:szCs w:val="28"/>
          <w:highlight w:val="none"/>
        </w:rPr>
        <w:t>，</w:t>
      </w:r>
      <w:r>
        <w:rPr>
          <w:rFonts w:hint="eastAsia" w:eastAsia="宋体" w:cs="Times New Roman"/>
          <w:color w:val="auto"/>
          <w:sz w:val="28"/>
          <w:szCs w:val="28"/>
          <w:highlight w:val="none"/>
          <w:lang w:eastAsia="zh-CN"/>
        </w:rPr>
        <w:t>若高出</w:t>
      </w:r>
      <w:r>
        <w:rPr>
          <w:rFonts w:hint="eastAsia" w:eastAsia="宋体" w:cs="Times New Roman"/>
          <w:color w:val="auto"/>
          <w:sz w:val="28"/>
          <w:szCs w:val="28"/>
          <w:highlight w:val="none"/>
        </w:rPr>
        <w:t>则视为无效报价。原则上需求单价为整数。</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s="Times New Roman"/>
          <w:color w:val="auto"/>
          <w:sz w:val="28"/>
          <w:szCs w:val="28"/>
          <w:highlight w:val="none"/>
          <w:lang w:eastAsia="zh-CN"/>
        </w:rPr>
      </w:pPr>
      <w:r>
        <w:rPr>
          <w:rFonts w:hint="eastAsia" w:eastAsia="宋体" w:cs="Times New Roman"/>
          <w:color w:val="auto"/>
          <w:sz w:val="28"/>
          <w:szCs w:val="28"/>
          <w:highlight w:val="none"/>
          <w:lang w:val="en-US" w:eastAsia="zh-CN"/>
        </w:rPr>
        <w:t>3</w:t>
      </w:r>
      <w:r>
        <w:rPr>
          <w:rFonts w:hint="eastAsia" w:eastAsia="宋体" w:cs="Times New Roman"/>
          <w:color w:val="auto"/>
          <w:sz w:val="28"/>
          <w:szCs w:val="28"/>
          <w:highlight w:val="none"/>
          <w:lang w:eastAsia="zh-CN"/>
        </w:rPr>
        <w:t>.竞价截止后，</w:t>
      </w:r>
      <w:r>
        <w:rPr>
          <w:rFonts w:hint="eastAsia" w:eastAsia="宋体" w:cs="Times New Roman"/>
          <w:b/>
          <w:bCs/>
          <w:color w:val="FF0000"/>
          <w:sz w:val="28"/>
          <w:szCs w:val="28"/>
          <w:highlight w:val="none"/>
          <w:lang w:eastAsia="zh-CN"/>
        </w:rPr>
        <w:t>满足中标条件且申报单价最低</w:t>
      </w:r>
      <w:r>
        <w:rPr>
          <w:rFonts w:hint="eastAsia" w:eastAsia="宋体" w:cs="Times New Roman"/>
          <w:color w:val="auto"/>
          <w:sz w:val="28"/>
          <w:szCs w:val="28"/>
          <w:highlight w:val="none"/>
          <w:lang w:eastAsia="zh-CN"/>
        </w:rPr>
        <w:t>的竞价人为中标单位；</w:t>
      </w:r>
      <w:r>
        <w:rPr>
          <w:rFonts w:hint="eastAsia" w:ascii="宋体" w:hAnsi="宋体" w:cs="宋体"/>
          <w:b/>
          <w:bCs/>
          <w:color w:val="FF0000"/>
          <w:sz w:val="28"/>
          <w:szCs w:val="28"/>
          <w:highlight w:val="none"/>
          <w:lang w:eastAsia="zh-CN"/>
        </w:rPr>
        <w:t>若申报单价相同，则以</w:t>
      </w:r>
      <w:r>
        <w:rPr>
          <w:rFonts w:hint="eastAsia" w:ascii="宋体" w:hAnsi="宋体" w:eastAsia="宋体" w:cs="宋体"/>
          <w:b/>
          <w:bCs/>
          <w:color w:val="FF0000"/>
          <w:sz w:val="28"/>
          <w:szCs w:val="28"/>
          <w:highlight w:val="none"/>
        </w:rPr>
        <w:t>电子商务平台</w:t>
      </w:r>
      <w:r>
        <w:rPr>
          <w:rFonts w:hint="eastAsia" w:ascii="宋体" w:hAnsi="宋体" w:eastAsia="宋体" w:cs="宋体"/>
          <w:b/>
          <w:bCs/>
          <w:color w:val="FF0000"/>
          <w:sz w:val="28"/>
          <w:szCs w:val="28"/>
          <w:highlight w:val="none"/>
          <w:lang w:eastAsia="zh-CN"/>
        </w:rPr>
        <w:t>上传响应文件时间较早的竞价人作为中标单位；若上传文件时间也相同，则由竞价小组根据各竞价人提供的业绩数量及</w:t>
      </w:r>
      <w:r>
        <w:rPr>
          <w:rFonts w:hint="eastAsia" w:ascii="宋体" w:hAnsi="宋体" w:cs="宋体"/>
          <w:b/>
          <w:bCs/>
          <w:color w:val="FF0000"/>
          <w:sz w:val="28"/>
          <w:szCs w:val="28"/>
          <w:highlight w:val="none"/>
          <w:lang w:eastAsia="zh-CN"/>
        </w:rPr>
        <w:t>脱硫石膏</w:t>
      </w:r>
      <w:r>
        <w:rPr>
          <w:rFonts w:hint="eastAsia" w:ascii="宋体" w:hAnsi="宋体" w:eastAsia="宋体" w:cs="宋体"/>
          <w:b/>
          <w:bCs/>
          <w:color w:val="FF0000"/>
          <w:sz w:val="28"/>
          <w:szCs w:val="28"/>
          <w:highlight w:val="none"/>
          <w:lang w:eastAsia="zh-CN"/>
        </w:rPr>
        <w:t>处置量综合评审后，确定中标候选人名单。</w:t>
      </w:r>
      <w:r>
        <w:rPr>
          <w:rFonts w:hint="eastAsia" w:eastAsia="宋体" w:cs="Times New Roman"/>
          <w:color w:val="auto"/>
          <w:sz w:val="28"/>
          <w:szCs w:val="28"/>
          <w:highlight w:val="none"/>
          <w:lang w:val="en-US" w:eastAsia="zh-CN"/>
        </w:rPr>
        <w:t>4.本项目各标段竞价人可兼中兼得，每标段将单价报价次低的竞价人作为备选中标单位。</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b/>
          <w:bCs/>
          <w:sz w:val="28"/>
          <w:szCs w:val="28"/>
          <w:highlight w:val="none"/>
          <w:u w:val="none"/>
        </w:rPr>
      </w:pPr>
      <w:r>
        <w:rPr>
          <w:rFonts w:hint="eastAsia"/>
          <w:b/>
          <w:bCs/>
          <w:sz w:val="28"/>
          <w:szCs w:val="28"/>
          <w:highlight w:val="none"/>
          <w:u w:val="none"/>
        </w:rPr>
        <w:t>四、合同签订</w:t>
      </w:r>
    </w:p>
    <w:p>
      <w:pPr>
        <w:pStyle w:val="3"/>
        <w:keepNext w:val="0"/>
        <w:keepLines w:val="0"/>
        <w:pageBreakBefore w:val="0"/>
        <w:widowControl w:val="0"/>
        <w:kinsoku/>
        <w:wordWrap/>
        <w:overflowPunct/>
        <w:topLinePunct w:val="0"/>
        <w:autoSpaceDE/>
        <w:autoSpaceDN/>
        <w:bidi w:val="0"/>
        <w:adjustRightInd/>
        <w:snapToGrid/>
        <w:spacing w:before="100" w:after="0" w:line="360" w:lineRule="auto"/>
        <w:jc w:val="left"/>
        <w:textAlignment w:val="auto"/>
        <w:rPr>
          <w:rFonts w:hint="eastAsia" w:ascii="Calibri" w:hAnsi="Calibri" w:eastAsia="宋体" w:cs="Times New Roman"/>
          <w:b w:val="0"/>
          <w:bCs w:val="0"/>
          <w:kern w:val="2"/>
          <w:sz w:val="28"/>
          <w:szCs w:val="28"/>
          <w:highlight w:val="none"/>
          <w:u w:val="none"/>
          <w:lang w:val="en-US" w:eastAsia="zh-CN" w:bidi="ar-SA"/>
        </w:rPr>
      </w:pPr>
      <w:r>
        <w:rPr>
          <w:rFonts w:hint="eastAsia" w:ascii="Calibri" w:hAnsi="Calibri" w:eastAsia="宋体" w:cs="Times New Roman"/>
          <w:b w:val="0"/>
          <w:bCs w:val="0"/>
          <w:kern w:val="2"/>
          <w:sz w:val="28"/>
          <w:szCs w:val="28"/>
          <w:highlight w:val="none"/>
          <w:u w:val="none"/>
          <w:lang w:val="en-US" w:eastAsia="zh-CN" w:bidi="ar-SA"/>
        </w:rPr>
        <w:t>（一）发电副产品装运及处置等发生的所有费用由竞价人自行承担。中标单位必须按出售方要求签订《华能玉环分公司2025年12月至2026年3月脱硫石膏销售处置合同》（格式见附件4）。对因竞价申请人自身原因拒不签订销售合同的竞价中标人将被列入不合格竞价申请人名单，按相关管理规定进行处置，对本次副产品竞价处置按照本次竞价最终报价结果重新定标。</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highlight w:val="none"/>
          <w:u w:val="none"/>
        </w:rPr>
      </w:pPr>
      <w:r>
        <w:rPr>
          <w:rFonts w:hint="eastAsia"/>
          <w:sz w:val="28"/>
          <w:szCs w:val="28"/>
          <w:highlight w:val="none"/>
          <w:u w:val="none"/>
        </w:rPr>
        <w:t>（二）履约保证金：</w:t>
      </w:r>
      <w:r>
        <w:rPr>
          <w:rFonts w:hint="eastAsia"/>
          <w:sz w:val="28"/>
          <w:szCs w:val="28"/>
          <w:highlight w:val="none"/>
          <w:u w:val="none"/>
          <w:lang w:eastAsia="zh-CN"/>
        </w:rPr>
        <w:t>中标单位</w:t>
      </w:r>
      <w:r>
        <w:rPr>
          <w:rFonts w:hint="eastAsia"/>
          <w:sz w:val="28"/>
          <w:szCs w:val="28"/>
          <w:highlight w:val="none"/>
          <w:u w:val="none"/>
        </w:rPr>
        <w:t>签订销售</w:t>
      </w:r>
      <w:r>
        <w:rPr>
          <w:rFonts w:hint="eastAsia"/>
          <w:sz w:val="28"/>
          <w:szCs w:val="28"/>
          <w:highlight w:val="none"/>
          <w:u w:val="none"/>
          <w:lang w:eastAsia="zh-CN"/>
        </w:rPr>
        <w:t>合同</w:t>
      </w:r>
      <w:r>
        <w:rPr>
          <w:rFonts w:hint="eastAsia"/>
          <w:sz w:val="28"/>
          <w:szCs w:val="28"/>
          <w:highlight w:val="none"/>
          <w:u w:val="none"/>
        </w:rPr>
        <w:t>后</w:t>
      </w:r>
      <w:r>
        <w:rPr>
          <w:rFonts w:hint="eastAsia"/>
          <w:sz w:val="28"/>
          <w:szCs w:val="28"/>
          <w:highlight w:val="none"/>
          <w:u w:val="none"/>
          <w:lang w:val="en-US" w:eastAsia="zh-CN"/>
        </w:rPr>
        <w:t>3</w:t>
      </w:r>
      <w:r>
        <w:rPr>
          <w:rFonts w:hint="eastAsia"/>
          <w:sz w:val="28"/>
          <w:szCs w:val="28"/>
          <w:highlight w:val="none"/>
          <w:u w:val="none"/>
        </w:rPr>
        <w:t>个工作日内需向出售方缴纳履约保证金(</w:t>
      </w:r>
      <w:r>
        <w:rPr>
          <w:rFonts w:hint="eastAsia"/>
          <w:sz w:val="28"/>
          <w:szCs w:val="28"/>
          <w:highlight w:val="none"/>
          <w:u w:val="none"/>
          <w:lang w:eastAsia="zh-CN"/>
        </w:rPr>
        <w:t>以甲方通知为准）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履约保证金缴纳账户</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8"/>
          <w:szCs w:val="28"/>
          <w:lang w:val="en-US" w:eastAsia="zh-CN"/>
        </w:rPr>
      </w:pPr>
      <w:r>
        <w:rPr>
          <w:rFonts w:hint="eastAsia"/>
          <w:sz w:val="28"/>
          <w:szCs w:val="28"/>
        </w:rPr>
        <w:t>开户银行:建行玉环大麦屿支行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highlight w:val="none"/>
          <w:lang w:val="en-US" w:eastAsia="zh-CN"/>
        </w:rPr>
      </w:pPr>
      <w:r>
        <w:rPr>
          <w:rFonts w:hint="eastAsia"/>
          <w:sz w:val="28"/>
          <w:szCs w:val="28"/>
        </w:rPr>
        <w:t>账号：</w:t>
      </w:r>
      <w:r>
        <w:rPr>
          <w:rFonts w:hint="eastAsia"/>
          <w:sz w:val="28"/>
          <w:szCs w:val="28"/>
          <w:highlight w:val="none"/>
          <w:lang w:val="en-US" w:eastAsia="zh-CN"/>
        </w:rPr>
        <w:t>3305 0166 7252 0999 9999</w:t>
      </w:r>
    </w:p>
    <w:p>
      <w:pPr>
        <w:pStyle w:val="10"/>
        <w:rPr>
          <w:rFonts w:hint="eastAsia"/>
          <w:lang w:val="en-US" w:eastAsia="zh-CN"/>
        </w:rPr>
      </w:pPr>
      <w:r>
        <w:rPr>
          <w:rFonts w:hint="eastAsia"/>
          <w:sz w:val="28"/>
          <w:szCs w:val="28"/>
          <w:highlight w:val="none"/>
          <w:lang w:val="en-US" w:eastAsia="zh-CN"/>
        </w:rPr>
        <w:t>（三）</w:t>
      </w:r>
      <w:r>
        <w:rPr>
          <w:rFonts w:hint="eastAsia" w:ascii="Calibri" w:hAnsi="Calibri" w:eastAsia="宋体" w:cs="Times New Roman"/>
          <w:kern w:val="2"/>
          <w:sz w:val="28"/>
          <w:szCs w:val="28"/>
          <w:highlight w:val="none"/>
          <w:u w:val="none"/>
          <w:lang w:val="en-US" w:eastAsia="zh-CN" w:bidi="ar-SA"/>
        </w:rPr>
        <w:t>在发生影响机组安全运行或市场行情变化较大的特殊情况下，由华能玉环分公司总经理办公会另行决策，以调整价格、促销等方式应急处置</w:t>
      </w:r>
      <w:r>
        <w:rPr>
          <w:rFonts w:hint="eastAsia" w:ascii="Calibri" w:hAnsi="Calibri" w:cs="Times New Roman"/>
          <w:kern w:val="2"/>
          <w:sz w:val="28"/>
          <w:szCs w:val="28"/>
          <w:highlight w:val="none"/>
          <w:u w:val="none"/>
          <w:lang w:val="en-US" w:eastAsia="zh-CN" w:bidi="ar-SA"/>
        </w:rPr>
        <w:t>脱硫石膏</w:t>
      </w:r>
      <w:r>
        <w:rPr>
          <w:rFonts w:hint="eastAsia" w:ascii="Calibri" w:hAnsi="Calibri" w:eastAsia="宋体" w:cs="Times New Roman"/>
          <w:kern w:val="2"/>
          <w:sz w:val="28"/>
          <w:szCs w:val="28"/>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highlight w:val="none"/>
        </w:rPr>
      </w:pPr>
      <w:r>
        <w:rPr>
          <w:rFonts w:hint="eastAsia"/>
          <w:sz w:val="28"/>
          <w:szCs w:val="28"/>
          <w:highlight w:val="none"/>
        </w:rPr>
        <w:t>五、其它</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（一）竞价中标单位进厂前须按电厂制度办理相关入厂手续，在电厂装运时必须遵守电厂相关安全规定，服从现场指挥。应按规定签订安全协议，不发生违反安全协议规定的行为，否则给以相应的罚款。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s="Times New Roman"/>
          <w:sz w:val="28"/>
          <w:szCs w:val="28"/>
        </w:rPr>
      </w:pPr>
      <w:r>
        <w:rPr>
          <w:rFonts w:hint="eastAsia"/>
          <w:sz w:val="28"/>
          <w:szCs w:val="28"/>
        </w:rPr>
        <w:t>（二）竞价申请人如在中国华能集团电子商务平台操作过程中遇到相关问题，请各竞价申请人与中国华能电子商务平台客服联系解决（电话：</w:t>
      </w:r>
      <w:r>
        <w:rPr>
          <w:rFonts w:hint="eastAsia" w:eastAsia="宋体" w:cs="Times New Roman"/>
          <w:sz w:val="28"/>
          <w:szCs w:val="28"/>
        </w:rPr>
        <w:t>4000101086），出售方不解决相关电子商务平台操作问题。</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s="Times New Roman"/>
          <w:sz w:val="28"/>
          <w:szCs w:val="28"/>
          <w:lang w:eastAsia="zh-CN"/>
        </w:rPr>
      </w:pPr>
      <w:r>
        <w:rPr>
          <w:rFonts w:hint="eastAsia" w:eastAsia="宋体" w:cs="Times New Roman"/>
          <w:sz w:val="28"/>
          <w:szCs w:val="28"/>
          <w:lang w:eastAsia="zh-CN"/>
        </w:rPr>
        <w:t>（三）</w:t>
      </w:r>
      <w:r>
        <w:rPr>
          <w:rFonts w:hint="eastAsia" w:eastAsia="宋体" w:cs="Times New Roman"/>
          <w:sz w:val="28"/>
          <w:szCs w:val="28"/>
        </w:rPr>
        <w:t>本次</w:t>
      </w:r>
      <w:r>
        <w:rPr>
          <w:rFonts w:hint="eastAsia" w:eastAsia="宋体" w:cs="Times New Roman"/>
          <w:sz w:val="28"/>
          <w:szCs w:val="28"/>
          <w:lang w:eastAsia="zh-CN"/>
        </w:rPr>
        <w:t>竞价处置</w:t>
      </w:r>
      <w:r>
        <w:rPr>
          <w:rFonts w:hint="eastAsia" w:eastAsia="宋体" w:cs="Times New Roman"/>
          <w:sz w:val="28"/>
          <w:szCs w:val="28"/>
        </w:rPr>
        <w:t>由</w:t>
      </w:r>
      <w:r>
        <w:rPr>
          <w:rFonts w:hint="eastAsia" w:eastAsia="宋体" w:cs="Times New Roman"/>
          <w:sz w:val="28"/>
          <w:szCs w:val="28"/>
          <w:lang w:eastAsia="zh-CN"/>
        </w:rPr>
        <w:t>玉环分公司</w:t>
      </w:r>
      <w:r>
        <w:rPr>
          <w:rFonts w:hint="eastAsia" w:eastAsia="宋体" w:cs="Times New Roman"/>
          <w:sz w:val="28"/>
          <w:szCs w:val="28"/>
        </w:rPr>
        <w:t>自行组织并由</w:t>
      </w:r>
      <w:r>
        <w:rPr>
          <w:rFonts w:hint="eastAsia" w:eastAsia="宋体" w:cs="Times New Roman"/>
          <w:sz w:val="28"/>
          <w:szCs w:val="28"/>
          <w:lang w:eastAsia="zh-CN"/>
        </w:rPr>
        <w:t>竞价</w:t>
      </w:r>
      <w:r>
        <w:rPr>
          <w:rFonts w:hint="eastAsia" w:eastAsia="宋体" w:cs="Times New Roman"/>
          <w:sz w:val="28"/>
          <w:szCs w:val="28"/>
        </w:rPr>
        <w:t>小组具体实施，</w:t>
      </w:r>
      <w:r>
        <w:rPr>
          <w:rFonts w:hint="eastAsia" w:eastAsia="宋体" w:cs="Times New Roman"/>
          <w:sz w:val="28"/>
          <w:szCs w:val="28"/>
          <w:lang w:eastAsia="zh-CN"/>
        </w:rPr>
        <w:t>竞价</w:t>
      </w:r>
      <w:r>
        <w:rPr>
          <w:rFonts w:hint="eastAsia" w:eastAsia="宋体" w:cs="Times New Roman"/>
          <w:sz w:val="28"/>
          <w:szCs w:val="28"/>
        </w:rPr>
        <w:t>小组成员由商务、技术、财务与预算部、法务人员组成，由物资站负责人担任</w:t>
      </w:r>
      <w:r>
        <w:rPr>
          <w:rFonts w:hint="eastAsia" w:eastAsia="宋体" w:cs="Times New Roman"/>
          <w:sz w:val="28"/>
          <w:szCs w:val="28"/>
          <w:lang w:eastAsia="zh-CN"/>
        </w:rPr>
        <w:t>竞价</w:t>
      </w:r>
      <w:r>
        <w:rPr>
          <w:rFonts w:hint="eastAsia" w:eastAsia="宋体" w:cs="Times New Roman"/>
          <w:sz w:val="28"/>
          <w:szCs w:val="28"/>
        </w:rPr>
        <w:t>小组组长。</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附件1：发电副产品需求申购表</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附</w:t>
      </w:r>
      <w:r>
        <w:rPr>
          <w:rFonts w:hint="eastAsia" w:eastAsia="宋体" w:cs="Times New Roman"/>
          <w:sz w:val="28"/>
          <w:szCs w:val="28"/>
        </w:rPr>
        <w:t>件2：</w:t>
      </w:r>
      <w:r>
        <w:rPr>
          <w:rFonts w:hint="eastAsia" w:eastAsia="宋体" w:cs="Times New Roman"/>
          <w:sz w:val="28"/>
          <w:szCs w:val="28"/>
          <w:lang w:val="en-US" w:eastAsia="zh-CN"/>
        </w:rPr>
        <w:t>发电副产品合规销售综合利用承诺书</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lang w:val="en-US" w:eastAsia="zh-CN"/>
        </w:rPr>
      </w:pPr>
      <w:r>
        <w:rPr>
          <w:rFonts w:hint="eastAsia"/>
          <w:sz w:val="28"/>
          <w:szCs w:val="28"/>
          <w:lang w:eastAsia="zh-CN"/>
        </w:rPr>
        <w:t>附件</w:t>
      </w:r>
      <w:r>
        <w:rPr>
          <w:rFonts w:hint="eastAsia"/>
          <w:sz w:val="28"/>
          <w:szCs w:val="28"/>
          <w:lang w:val="en-US" w:eastAsia="zh-CN"/>
        </w:rPr>
        <w:t>3：现场踏勘确认书</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s="Times New Roman"/>
          <w:sz w:val="28"/>
          <w:szCs w:val="28"/>
          <w:lang w:eastAsia="zh-CN"/>
        </w:rPr>
      </w:pPr>
      <w:r>
        <w:rPr>
          <w:rFonts w:hint="eastAsia"/>
          <w:sz w:val="28"/>
          <w:szCs w:val="28"/>
          <w:lang w:eastAsia="zh-CN"/>
        </w:rPr>
        <w:t>附件</w:t>
      </w:r>
      <w:r>
        <w:rPr>
          <w:rFonts w:hint="eastAsia"/>
          <w:sz w:val="28"/>
          <w:szCs w:val="28"/>
          <w:lang w:val="en-US" w:eastAsia="zh-CN"/>
        </w:rPr>
        <w:t>4：</w:t>
      </w:r>
      <w:r>
        <w:rPr>
          <w:rFonts w:hint="eastAsia" w:ascii="新宋体" w:hAnsi="新宋体" w:eastAsia="新宋体" w:cs="新宋体"/>
          <w:sz w:val="28"/>
          <w:szCs w:val="28"/>
          <w:lang w:val="en-US" w:eastAsia="zh-CN"/>
        </w:rPr>
        <w:t>2025年12月至2026年3月脱硫石膏</w:t>
      </w:r>
      <w:r>
        <w:rPr>
          <w:rFonts w:hint="eastAsia"/>
          <w:sz w:val="28"/>
          <w:szCs w:val="28"/>
          <w:lang w:eastAsia="zh-CN"/>
        </w:rPr>
        <w:t>竞价销售处置合同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sz w:val="28"/>
          <w:szCs w:val="28"/>
          <w:lang w:eastAsia="zh-CN"/>
        </w:rPr>
      </w:pPr>
      <w:r>
        <w:rPr>
          <w:rFonts w:hint="eastAsia"/>
          <w:sz w:val="28"/>
          <w:szCs w:val="28"/>
        </w:rPr>
        <w:t>附件</w:t>
      </w:r>
      <w:r>
        <w:rPr>
          <w:rFonts w:hint="eastAsia"/>
          <w:sz w:val="28"/>
          <w:szCs w:val="28"/>
          <w:lang w:val="en-US" w:eastAsia="zh-CN"/>
        </w:rPr>
        <w:t>5</w:t>
      </w:r>
      <w:r>
        <w:rPr>
          <w:rFonts w:hint="eastAsia"/>
          <w:sz w:val="28"/>
          <w:szCs w:val="28"/>
        </w:rPr>
        <w:t>：</w:t>
      </w:r>
      <w:r>
        <w:rPr>
          <w:rFonts w:hint="eastAsia" w:ascii="新宋体" w:hAnsi="新宋体" w:eastAsia="新宋体" w:cs="新宋体"/>
          <w:sz w:val="28"/>
          <w:szCs w:val="28"/>
          <w:lang w:val="en-US" w:eastAsia="zh-CN"/>
        </w:rPr>
        <w:t>2025年12月至2026年3月脱硫石膏</w:t>
      </w:r>
      <w:r>
        <w:rPr>
          <w:rFonts w:hint="eastAsia"/>
          <w:sz w:val="28"/>
          <w:szCs w:val="28"/>
        </w:rPr>
        <w:t>技术规范书</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新宋体" w:hAnsi="新宋体" w:eastAsia="新宋体" w:cs="新宋体"/>
          <w:sz w:val="28"/>
          <w:szCs w:val="28"/>
          <w:lang w:val="en-US" w:eastAsia="zh-CN"/>
        </w:rPr>
      </w:pPr>
    </w:p>
    <w:sectPr>
      <w:footerReference r:id="rId3" w:type="default"/>
      <w:pgSz w:w="11906" w:h="16838"/>
      <w:pgMar w:top="1440" w:right="1800" w:bottom="1440" w:left="180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EB3C01"/>
    <w:multiLevelType w:val="singleLevel"/>
    <w:tmpl w:val="C4EB3C01"/>
    <w:lvl w:ilvl="0" w:tentative="0">
      <w:start w:val="2"/>
      <w:numFmt w:val="chineseCounting"/>
      <w:suff w:val="nothing"/>
      <w:lvlText w:val="%1、"/>
      <w:lvlJc w:val="left"/>
      <w:pPr>
        <w:ind w:left="-14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C1B"/>
    <w:rsid w:val="000107BB"/>
    <w:rsid w:val="00012F91"/>
    <w:rsid w:val="000268D6"/>
    <w:rsid w:val="00054788"/>
    <w:rsid w:val="000600D4"/>
    <w:rsid w:val="000744E7"/>
    <w:rsid w:val="00086FD0"/>
    <w:rsid w:val="00090AA9"/>
    <w:rsid w:val="00090F98"/>
    <w:rsid w:val="0009159F"/>
    <w:rsid w:val="000938EB"/>
    <w:rsid w:val="00097733"/>
    <w:rsid w:val="000A0054"/>
    <w:rsid w:val="000A1E29"/>
    <w:rsid w:val="000C3D1C"/>
    <w:rsid w:val="000C5012"/>
    <w:rsid w:val="000C6E96"/>
    <w:rsid w:val="000D57F8"/>
    <w:rsid w:val="000D5C10"/>
    <w:rsid w:val="000E310B"/>
    <w:rsid w:val="00100DFB"/>
    <w:rsid w:val="00111482"/>
    <w:rsid w:val="0012279E"/>
    <w:rsid w:val="0013110D"/>
    <w:rsid w:val="00132151"/>
    <w:rsid w:val="0014082C"/>
    <w:rsid w:val="00143C33"/>
    <w:rsid w:val="00147569"/>
    <w:rsid w:val="00147D87"/>
    <w:rsid w:val="0016371D"/>
    <w:rsid w:val="001704B7"/>
    <w:rsid w:val="00175696"/>
    <w:rsid w:val="001879E7"/>
    <w:rsid w:val="001A55C1"/>
    <w:rsid w:val="001A7234"/>
    <w:rsid w:val="001C20A9"/>
    <w:rsid w:val="001C3991"/>
    <w:rsid w:val="001C5513"/>
    <w:rsid w:val="001C5DA5"/>
    <w:rsid w:val="001C783E"/>
    <w:rsid w:val="001D2DCB"/>
    <w:rsid w:val="001E2B82"/>
    <w:rsid w:val="001E4D32"/>
    <w:rsid w:val="001E645F"/>
    <w:rsid w:val="001F6612"/>
    <w:rsid w:val="00200F6C"/>
    <w:rsid w:val="00203C17"/>
    <w:rsid w:val="00214039"/>
    <w:rsid w:val="00215657"/>
    <w:rsid w:val="00220C1B"/>
    <w:rsid w:val="002332EB"/>
    <w:rsid w:val="002452CF"/>
    <w:rsid w:val="00246057"/>
    <w:rsid w:val="00263FD3"/>
    <w:rsid w:val="00274B92"/>
    <w:rsid w:val="00275B18"/>
    <w:rsid w:val="0028494B"/>
    <w:rsid w:val="0028622A"/>
    <w:rsid w:val="00297E28"/>
    <w:rsid w:val="002A0D76"/>
    <w:rsid w:val="002A755E"/>
    <w:rsid w:val="002A7E4F"/>
    <w:rsid w:val="002B37F2"/>
    <w:rsid w:val="002B57D2"/>
    <w:rsid w:val="002C0AE8"/>
    <w:rsid w:val="002D674C"/>
    <w:rsid w:val="002F0AF2"/>
    <w:rsid w:val="00302E06"/>
    <w:rsid w:val="00306964"/>
    <w:rsid w:val="00312900"/>
    <w:rsid w:val="003142BC"/>
    <w:rsid w:val="003202E7"/>
    <w:rsid w:val="00320338"/>
    <w:rsid w:val="003206AE"/>
    <w:rsid w:val="00321A71"/>
    <w:rsid w:val="00322BFC"/>
    <w:rsid w:val="003256CE"/>
    <w:rsid w:val="00334A3E"/>
    <w:rsid w:val="00344EB0"/>
    <w:rsid w:val="00346B2E"/>
    <w:rsid w:val="00347E27"/>
    <w:rsid w:val="0037332E"/>
    <w:rsid w:val="0037701F"/>
    <w:rsid w:val="0038268C"/>
    <w:rsid w:val="0038606F"/>
    <w:rsid w:val="0039119E"/>
    <w:rsid w:val="0039796C"/>
    <w:rsid w:val="003A1FE5"/>
    <w:rsid w:val="003A244A"/>
    <w:rsid w:val="003A5E42"/>
    <w:rsid w:val="003A6F39"/>
    <w:rsid w:val="003B6C18"/>
    <w:rsid w:val="003C17C9"/>
    <w:rsid w:val="003C5DC1"/>
    <w:rsid w:val="003C7CF8"/>
    <w:rsid w:val="003D1288"/>
    <w:rsid w:val="003D609F"/>
    <w:rsid w:val="003D6211"/>
    <w:rsid w:val="003E040D"/>
    <w:rsid w:val="003E63A5"/>
    <w:rsid w:val="003F0FA6"/>
    <w:rsid w:val="003F230B"/>
    <w:rsid w:val="003F36AE"/>
    <w:rsid w:val="00400812"/>
    <w:rsid w:val="00400BF9"/>
    <w:rsid w:val="0040235E"/>
    <w:rsid w:val="00402637"/>
    <w:rsid w:val="004026DE"/>
    <w:rsid w:val="004075C4"/>
    <w:rsid w:val="00413584"/>
    <w:rsid w:val="00416C6C"/>
    <w:rsid w:val="00417828"/>
    <w:rsid w:val="004206D4"/>
    <w:rsid w:val="004218C5"/>
    <w:rsid w:val="00426D47"/>
    <w:rsid w:val="004271E0"/>
    <w:rsid w:val="00442A97"/>
    <w:rsid w:val="00447FC9"/>
    <w:rsid w:val="004569E1"/>
    <w:rsid w:val="004573F5"/>
    <w:rsid w:val="004578BF"/>
    <w:rsid w:val="00466DDD"/>
    <w:rsid w:val="00474F57"/>
    <w:rsid w:val="00477E60"/>
    <w:rsid w:val="00494833"/>
    <w:rsid w:val="004A3B71"/>
    <w:rsid w:val="004A51F4"/>
    <w:rsid w:val="004B5895"/>
    <w:rsid w:val="004B6C21"/>
    <w:rsid w:val="004B77D4"/>
    <w:rsid w:val="004C0882"/>
    <w:rsid w:val="004D2BC6"/>
    <w:rsid w:val="004D3274"/>
    <w:rsid w:val="004D35D2"/>
    <w:rsid w:val="004D6522"/>
    <w:rsid w:val="004D6772"/>
    <w:rsid w:val="004E0B85"/>
    <w:rsid w:val="004E2B1F"/>
    <w:rsid w:val="004E58B0"/>
    <w:rsid w:val="004F64C7"/>
    <w:rsid w:val="00514941"/>
    <w:rsid w:val="00522446"/>
    <w:rsid w:val="00522D88"/>
    <w:rsid w:val="00533413"/>
    <w:rsid w:val="005434A4"/>
    <w:rsid w:val="00544CAA"/>
    <w:rsid w:val="0054773F"/>
    <w:rsid w:val="0055096D"/>
    <w:rsid w:val="00551EB4"/>
    <w:rsid w:val="0058565E"/>
    <w:rsid w:val="00587F28"/>
    <w:rsid w:val="005A0A19"/>
    <w:rsid w:val="005D35C5"/>
    <w:rsid w:val="005E1E4F"/>
    <w:rsid w:val="005E63A7"/>
    <w:rsid w:val="005E7FF3"/>
    <w:rsid w:val="005F008D"/>
    <w:rsid w:val="005F2FC2"/>
    <w:rsid w:val="005F497E"/>
    <w:rsid w:val="0060570C"/>
    <w:rsid w:val="0061353E"/>
    <w:rsid w:val="00621509"/>
    <w:rsid w:val="00624E67"/>
    <w:rsid w:val="0063170D"/>
    <w:rsid w:val="0063460F"/>
    <w:rsid w:val="00635EAF"/>
    <w:rsid w:val="00636D83"/>
    <w:rsid w:val="00637F7B"/>
    <w:rsid w:val="00640D86"/>
    <w:rsid w:val="00643424"/>
    <w:rsid w:val="0065053D"/>
    <w:rsid w:val="006509D5"/>
    <w:rsid w:val="006538F7"/>
    <w:rsid w:val="00655905"/>
    <w:rsid w:val="00657295"/>
    <w:rsid w:val="00663A46"/>
    <w:rsid w:val="00664E78"/>
    <w:rsid w:val="00667668"/>
    <w:rsid w:val="006709BA"/>
    <w:rsid w:val="00675C48"/>
    <w:rsid w:val="0067740C"/>
    <w:rsid w:val="0067777A"/>
    <w:rsid w:val="00683D87"/>
    <w:rsid w:val="00684C1A"/>
    <w:rsid w:val="006955DD"/>
    <w:rsid w:val="006A7179"/>
    <w:rsid w:val="006B3DEF"/>
    <w:rsid w:val="006B6796"/>
    <w:rsid w:val="006C6CFA"/>
    <w:rsid w:val="006E1D7B"/>
    <w:rsid w:val="006E2462"/>
    <w:rsid w:val="006E31B0"/>
    <w:rsid w:val="006E4A36"/>
    <w:rsid w:val="0070595C"/>
    <w:rsid w:val="00705EE0"/>
    <w:rsid w:val="00706097"/>
    <w:rsid w:val="007101D6"/>
    <w:rsid w:val="007155C3"/>
    <w:rsid w:val="00716DCD"/>
    <w:rsid w:val="00717987"/>
    <w:rsid w:val="00720FC1"/>
    <w:rsid w:val="00723435"/>
    <w:rsid w:val="007251C4"/>
    <w:rsid w:val="007256E8"/>
    <w:rsid w:val="007330A7"/>
    <w:rsid w:val="00742547"/>
    <w:rsid w:val="00746A45"/>
    <w:rsid w:val="00747C1B"/>
    <w:rsid w:val="00750EA5"/>
    <w:rsid w:val="007562D9"/>
    <w:rsid w:val="00762660"/>
    <w:rsid w:val="00763A52"/>
    <w:rsid w:val="00775C22"/>
    <w:rsid w:val="00782FEA"/>
    <w:rsid w:val="00786090"/>
    <w:rsid w:val="00791881"/>
    <w:rsid w:val="00795942"/>
    <w:rsid w:val="00796F59"/>
    <w:rsid w:val="007A0A18"/>
    <w:rsid w:val="007A3171"/>
    <w:rsid w:val="007B03DE"/>
    <w:rsid w:val="007B1719"/>
    <w:rsid w:val="007B2E18"/>
    <w:rsid w:val="007C39B8"/>
    <w:rsid w:val="007C47EA"/>
    <w:rsid w:val="007C4AF8"/>
    <w:rsid w:val="007C4EF0"/>
    <w:rsid w:val="007C557A"/>
    <w:rsid w:val="007D076B"/>
    <w:rsid w:val="007D2A96"/>
    <w:rsid w:val="007D6A6E"/>
    <w:rsid w:val="007E3D96"/>
    <w:rsid w:val="007F6007"/>
    <w:rsid w:val="007F69C7"/>
    <w:rsid w:val="008068D6"/>
    <w:rsid w:val="00810ADF"/>
    <w:rsid w:val="0081550D"/>
    <w:rsid w:val="008256DB"/>
    <w:rsid w:val="008346BA"/>
    <w:rsid w:val="00852AE4"/>
    <w:rsid w:val="00865F57"/>
    <w:rsid w:val="00872831"/>
    <w:rsid w:val="00881292"/>
    <w:rsid w:val="00881CED"/>
    <w:rsid w:val="00895E92"/>
    <w:rsid w:val="008B1276"/>
    <w:rsid w:val="008B6D84"/>
    <w:rsid w:val="008B6E06"/>
    <w:rsid w:val="008C34F8"/>
    <w:rsid w:val="008D2990"/>
    <w:rsid w:val="008D70EA"/>
    <w:rsid w:val="008E2619"/>
    <w:rsid w:val="008E7ABB"/>
    <w:rsid w:val="008F0D3A"/>
    <w:rsid w:val="008F0D59"/>
    <w:rsid w:val="008F32F2"/>
    <w:rsid w:val="008F5FBE"/>
    <w:rsid w:val="00903AD3"/>
    <w:rsid w:val="00906E93"/>
    <w:rsid w:val="00920567"/>
    <w:rsid w:val="0093340D"/>
    <w:rsid w:val="00937A9C"/>
    <w:rsid w:val="009502C5"/>
    <w:rsid w:val="00950844"/>
    <w:rsid w:val="00953DA4"/>
    <w:rsid w:val="00954D42"/>
    <w:rsid w:val="009558C1"/>
    <w:rsid w:val="0097082C"/>
    <w:rsid w:val="00983EC7"/>
    <w:rsid w:val="00986B2B"/>
    <w:rsid w:val="00992C58"/>
    <w:rsid w:val="009A3CB9"/>
    <w:rsid w:val="009A46A2"/>
    <w:rsid w:val="009A6AB5"/>
    <w:rsid w:val="009B259A"/>
    <w:rsid w:val="009C0F3E"/>
    <w:rsid w:val="009D4573"/>
    <w:rsid w:val="009D7CC7"/>
    <w:rsid w:val="009E5AE8"/>
    <w:rsid w:val="009F1D19"/>
    <w:rsid w:val="009F4ED6"/>
    <w:rsid w:val="009F6B73"/>
    <w:rsid w:val="009F7A81"/>
    <w:rsid w:val="00A106C2"/>
    <w:rsid w:val="00A139FD"/>
    <w:rsid w:val="00A2035B"/>
    <w:rsid w:val="00A21545"/>
    <w:rsid w:val="00A32820"/>
    <w:rsid w:val="00A33F4C"/>
    <w:rsid w:val="00A609D8"/>
    <w:rsid w:val="00A622B5"/>
    <w:rsid w:val="00A65D12"/>
    <w:rsid w:val="00A71818"/>
    <w:rsid w:val="00A771DF"/>
    <w:rsid w:val="00A85CB0"/>
    <w:rsid w:val="00A90382"/>
    <w:rsid w:val="00A97182"/>
    <w:rsid w:val="00AB4B9E"/>
    <w:rsid w:val="00AB4DDF"/>
    <w:rsid w:val="00AB70CC"/>
    <w:rsid w:val="00AD7884"/>
    <w:rsid w:val="00AE0027"/>
    <w:rsid w:val="00AE6F3E"/>
    <w:rsid w:val="00AE6F87"/>
    <w:rsid w:val="00AF0160"/>
    <w:rsid w:val="00AF7EC1"/>
    <w:rsid w:val="00B00FB7"/>
    <w:rsid w:val="00B036E8"/>
    <w:rsid w:val="00B138D7"/>
    <w:rsid w:val="00B223F5"/>
    <w:rsid w:val="00B24FD7"/>
    <w:rsid w:val="00B27AFD"/>
    <w:rsid w:val="00B32457"/>
    <w:rsid w:val="00B32BD4"/>
    <w:rsid w:val="00B33A5B"/>
    <w:rsid w:val="00B35D71"/>
    <w:rsid w:val="00B35ECB"/>
    <w:rsid w:val="00B37672"/>
    <w:rsid w:val="00B41722"/>
    <w:rsid w:val="00B46884"/>
    <w:rsid w:val="00B527F7"/>
    <w:rsid w:val="00B61C15"/>
    <w:rsid w:val="00B63968"/>
    <w:rsid w:val="00B65529"/>
    <w:rsid w:val="00B669FF"/>
    <w:rsid w:val="00B73A8C"/>
    <w:rsid w:val="00B73CED"/>
    <w:rsid w:val="00B76C1C"/>
    <w:rsid w:val="00B77D6C"/>
    <w:rsid w:val="00B824AE"/>
    <w:rsid w:val="00B87515"/>
    <w:rsid w:val="00B90BF6"/>
    <w:rsid w:val="00B91F6D"/>
    <w:rsid w:val="00BA566C"/>
    <w:rsid w:val="00BA6CE1"/>
    <w:rsid w:val="00BB4E23"/>
    <w:rsid w:val="00BB6AB1"/>
    <w:rsid w:val="00BC6FB5"/>
    <w:rsid w:val="00BD30D3"/>
    <w:rsid w:val="00BD4A5A"/>
    <w:rsid w:val="00BE6C9A"/>
    <w:rsid w:val="00BF012B"/>
    <w:rsid w:val="00C115D6"/>
    <w:rsid w:val="00C11659"/>
    <w:rsid w:val="00C11F46"/>
    <w:rsid w:val="00C129B1"/>
    <w:rsid w:val="00C201DC"/>
    <w:rsid w:val="00C27F0F"/>
    <w:rsid w:val="00C344C5"/>
    <w:rsid w:val="00C409E1"/>
    <w:rsid w:val="00C426A6"/>
    <w:rsid w:val="00C448A1"/>
    <w:rsid w:val="00C51B9D"/>
    <w:rsid w:val="00C723A0"/>
    <w:rsid w:val="00C72F95"/>
    <w:rsid w:val="00C74CAA"/>
    <w:rsid w:val="00C80930"/>
    <w:rsid w:val="00CA0E3F"/>
    <w:rsid w:val="00CA7791"/>
    <w:rsid w:val="00CA7EF3"/>
    <w:rsid w:val="00CB326F"/>
    <w:rsid w:val="00CB3C44"/>
    <w:rsid w:val="00CB510A"/>
    <w:rsid w:val="00CC033A"/>
    <w:rsid w:val="00CC1804"/>
    <w:rsid w:val="00CC5929"/>
    <w:rsid w:val="00CC5E95"/>
    <w:rsid w:val="00CD1DD6"/>
    <w:rsid w:val="00CD2D17"/>
    <w:rsid w:val="00CD47AC"/>
    <w:rsid w:val="00CD5993"/>
    <w:rsid w:val="00CE05FC"/>
    <w:rsid w:val="00CE300D"/>
    <w:rsid w:val="00CF1E38"/>
    <w:rsid w:val="00D015A5"/>
    <w:rsid w:val="00D041B7"/>
    <w:rsid w:val="00D074C6"/>
    <w:rsid w:val="00D108BC"/>
    <w:rsid w:val="00D10FF5"/>
    <w:rsid w:val="00D1291E"/>
    <w:rsid w:val="00D12FA1"/>
    <w:rsid w:val="00D21721"/>
    <w:rsid w:val="00D21EE1"/>
    <w:rsid w:val="00D317C4"/>
    <w:rsid w:val="00D34407"/>
    <w:rsid w:val="00D45F92"/>
    <w:rsid w:val="00D46A9C"/>
    <w:rsid w:val="00D50629"/>
    <w:rsid w:val="00D56A77"/>
    <w:rsid w:val="00D56B63"/>
    <w:rsid w:val="00D672E0"/>
    <w:rsid w:val="00D676CB"/>
    <w:rsid w:val="00D76659"/>
    <w:rsid w:val="00DA3604"/>
    <w:rsid w:val="00DB0042"/>
    <w:rsid w:val="00DB0790"/>
    <w:rsid w:val="00DB2FEC"/>
    <w:rsid w:val="00DB3C9C"/>
    <w:rsid w:val="00DC4325"/>
    <w:rsid w:val="00DD0E9F"/>
    <w:rsid w:val="00DD3E09"/>
    <w:rsid w:val="00DE0E02"/>
    <w:rsid w:val="00DE37AF"/>
    <w:rsid w:val="00DE64DA"/>
    <w:rsid w:val="00DE7DFF"/>
    <w:rsid w:val="00DF1F93"/>
    <w:rsid w:val="00DF7E9C"/>
    <w:rsid w:val="00E11BE8"/>
    <w:rsid w:val="00E126C5"/>
    <w:rsid w:val="00E421AE"/>
    <w:rsid w:val="00E44015"/>
    <w:rsid w:val="00E454C4"/>
    <w:rsid w:val="00E467CC"/>
    <w:rsid w:val="00E56B81"/>
    <w:rsid w:val="00E60CCA"/>
    <w:rsid w:val="00E8227E"/>
    <w:rsid w:val="00E82910"/>
    <w:rsid w:val="00E8324B"/>
    <w:rsid w:val="00E85760"/>
    <w:rsid w:val="00E902F9"/>
    <w:rsid w:val="00E91C2B"/>
    <w:rsid w:val="00E924A2"/>
    <w:rsid w:val="00E9606C"/>
    <w:rsid w:val="00E97D06"/>
    <w:rsid w:val="00EA7A81"/>
    <w:rsid w:val="00EB13CB"/>
    <w:rsid w:val="00EB5C94"/>
    <w:rsid w:val="00EB68EC"/>
    <w:rsid w:val="00EC0FCA"/>
    <w:rsid w:val="00EC3FF5"/>
    <w:rsid w:val="00ED5675"/>
    <w:rsid w:val="00EE6183"/>
    <w:rsid w:val="00EE7843"/>
    <w:rsid w:val="00EF04AF"/>
    <w:rsid w:val="00F0557B"/>
    <w:rsid w:val="00F11B47"/>
    <w:rsid w:val="00F12AB7"/>
    <w:rsid w:val="00F13FDE"/>
    <w:rsid w:val="00F20B39"/>
    <w:rsid w:val="00F22030"/>
    <w:rsid w:val="00F400E0"/>
    <w:rsid w:val="00F40C7E"/>
    <w:rsid w:val="00F44DBD"/>
    <w:rsid w:val="00F51975"/>
    <w:rsid w:val="00F542D3"/>
    <w:rsid w:val="00F5542C"/>
    <w:rsid w:val="00F57636"/>
    <w:rsid w:val="00F756AE"/>
    <w:rsid w:val="00F81131"/>
    <w:rsid w:val="00F8346D"/>
    <w:rsid w:val="00F85FCC"/>
    <w:rsid w:val="00F87613"/>
    <w:rsid w:val="00F964EB"/>
    <w:rsid w:val="00F96E97"/>
    <w:rsid w:val="00FA08D9"/>
    <w:rsid w:val="00FA5DC1"/>
    <w:rsid w:val="00FA7703"/>
    <w:rsid w:val="00FB2699"/>
    <w:rsid w:val="00FC1627"/>
    <w:rsid w:val="00FC79AA"/>
    <w:rsid w:val="00FD0B63"/>
    <w:rsid w:val="00FD455C"/>
    <w:rsid w:val="00FE3A67"/>
    <w:rsid w:val="00FF0B28"/>
    <w:rsid w:val="01310964"/>
    <w:rsid w:val="01A2049A"/>
    <w:rsid w:val="02396D93"/>
    <w:rsid w:val="02746569"/>
    <w:rsid w:val="02B13443"/>
    <w:rsid w:val="02B707AE"/>
    <w:rsid w:val="03BC2B87"/>
    <w:rsid w:val="066E0A22"/>
    <w:rsid w:val="09C9244C"/>
    <w:rsid w:val="0AF8308E"/>
    <w:rsid w:val="0AFE4367"/>
    <w:rsid w:val="0BBB2ED0"/>
    <w:rsid w:val="0BD65EDE"/>
    <w:rsid w:val="0CB701F9"/>
    <w:rsid w:val="0D162613"/>
    <w:rsid w:val="0EDA41B9"/>
    <w:rsid w:val="0F741C06"/>
    <w:rsid w:val="11FD1F29"/>
    <w:rsid w:val="14867006"/>
    <w:rsid w:val="15C1614D"/>
    <w:rsid w:val="160318D2"/>
    <w:rsid w:val="183D6823"/>
    <w:rsid w:val="19662873"/>
    <w:rsid w:val="19E97D3D"/>
    <w:rsid w:val="19F763C3"/>
    <w:rsid w:val="1B9E49EF"/>
    <w:rsid w:val="1BB1296A"/>
    <w:rsid w:val="1D5832D1"/>
    <w:rsid w:val="1E953401"/>
    <w:rsid w:val="1FF32683"/>
    <w:rsid w:val="20783B7C"/>
    <w:rsid w:val="22297F78"/>
    <w:rsid w:val="240D234A"/>
    <w:rsid w:val="24B55918"/>
    <w:rsid w:val="275E2FBB"/>
    <w:rsid w:val="27CB4C01"/>
    <w:rsid w:val="283E0EB5"/>
    <w:rsid w:val="284F0E34"/>
    <w:rsid w:val="2A304DEA"/>
    <w:rsid w:val="2A346ACA"/>
    <w:rsid w:val="2A743136"/>
    <w:rsid w:val="2A873E4C"/>
    <w:rsid w:val="2BC4587E"/>
    <w:rsid w:val="2C4C1B00"/>
    <w:rsid w:val="2CAF76BE"/>
    <w:rsid w:val="2CE463AC"/>
    <w:rsid w:val="2E316055"/>
    <w:rsid w:val="2EE024F1"/>
    <w:rsid w:val="2F663259"/>
    <w:rsid w:val="30923671"/>
    <w:rsid w:val="31732CAF"/>
    <w:rsid w:val="336F4EF5"/>
    <w:rsid w:val="361B694B"/>
    <w:rsid w:val="363B270A"/>
    <w:rsid w:val="370530BB"/>
    <w:rsid w:val="379829FB"/>
    <w:rsid w:val="3A643C9A"/>
    <w:rsid w:val="3B5C31EF"/>
    <w:rsid w:val="3C015002"/>
    <w:rsid w:val="3E044B6F"/>
    <w:rsid w:val="3E0C06D1"/>
    <w:rsid w:val="3E796275"/>
    <w:rsid w:val="3EA91549"/>
    <w:rsid w:val="3F21179A"/>
    <w:rsid w:val="41B90EF4"/>
    <w:rsid w:val="431C5812"/>
    <w:rsid w:val="434E1F14"/>
    <w:rsid w:val="43B75CBD"/>
    <w:rsid w:val="43FB3B18"/>
    <w:rsid w:val="446D7491"/>
    <w:rsid w:val="44E47886"/>
    <w:rsid w:val="46550DBF"/>
    <w:rsid w:val="46894345"/>
    <w:rsid w:val="47A91310"/>
    <w:rsid w:val="485B11D1"/>
    <w:rsid w:val="49420DF0"/>
    <w:rsid w:val="4A0005CA"/>
    <w:rsid w:val="4D3B58AC"/>
    <w:rsid w:val="4D44787B"/>
    <w:rsid w:val="4D923A45"/>
    <w:rsid w:val="4D9B61E6"/>
    <w:rsid w:val="4E19322E"/>
    <w:rsid w:val="4E311A88"/>
    <w:rsid w:val="4EB73291"/>
    <w:rsid w:val="52F26CA4"/>
    <w:rsid w:val="53C3545A"/>
    <w:rsid w:val="545C0C39"/>
    <w:rsid w:val="56037126"/>
    <w:rsid w:val="57727295"/>
    <w:rsid w:val="58D4695A"/>
    <w:rsid w:val="5C3A2DC9"/>
    <w:rsid w:val="5CEC2D02"/>
    <w:rsid w:val="5E5106B5"/>
    <w:rsid w:val="5EBE528D"/>
    <w:rsid w:val="5EDB4581"/>
    <w:rsid w:val="5F951ACD"/>
    <w:rsid w:val="5FAE46F5"/>
    <w:rsid w:val="6031439D"/>
    <w:rsid w:val="6117473A"/>
    <w:rsid w:val="613910D2"/>
    <w:rsid w:val="61773752"/>
    <w:rsid w:val="62AC31F3"/>
    <w:rsid w:val="644E7AF5"/>
    <w:rsid w:val="647A7212"/>
    <w:rsid w:val="675C5623"/>
    <w:rsid w:val="68A656E9"/>
    <w:rsid w:val="69305ECB"/>
    <w:rsid w:val="69FB7543"/>
    <w:rsid w:val="6A2754EF"/>
    <w:rsid w:val="6A751EE2"/>
    <w:rsid w:val="6A9024A5"/>
    <w:rsid w:val="6E3F3AEF"/>
    <w:rsid w:val="70021E0A"/>
    <w:rsid w:val="700F08CA"/>
    <w:rsid w:val="706D66BD"/>
    <w:rsid w:val="71AB378B"/>
    <w:rsid w:val="736A5CEA"/>
    <w:rsid w:val="73895108"/>
    <w:rsid w:val="74157A81"/>
    <w:rsid w:val="74AC6488"/>
    <w:rsid w:val="78521368"/>
    <w:rsid w:val="79BB15D9"/>
    <w:rsid w:val="7A9D0E35"/>
    <w:rsid w:val="7AC875A2"/>
    <w:rsid w:val="7BAD50D2"/>
    <w:rsid w:val="7BE95CE3"/>
    <w:rsid w:val="7C1A53D8"/>
    <w:rsid w:val="7D3B70DF"/>
    <w:rsid w:val="7DE40A49"/>
    <w:rsid w:val="7E861E0D"/>
    <w:rsid w:val="7E880B2C"/>
    <w:rsid w:val="7E8B4C63"/>
    <w:rsid w:val="7EB208BD"/>
    <w:rsid w:val="7F9260E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locked/>
    <w:uiPriority w:val="0"/>
    <w:pPr>
      <w:keepNext/>
      <w:keepLines/>
      <w:spacing w:before="340" w:after="330" w:line="578" w:lineRule="auto"/>
      <w:outlineLvl w:val="0"/>
    </w:pPr>
    <w:rPr>
      <w:b/>
      <w:bCs/>
      <w:kern w:val="44"/>
      <w:sz w:val="44"/>
      <w:szCs w:val="44"/>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spacing w:before="120" w:line="252" w:lineRule="auto"/>
    </w:pPr>
    <w:rPr>
      <w:rFonts w:ascii="Arial" w:hAnsi="Arial"/>
    </w:rPr>
  </w:style>
  <w:style w:type="paragraph" w:styleId="4">
    <w:name w:val="Body Text"/>
    <w:basedOn w:val="1"/>
    <w:qFormat/>
    <w:uiPriority w:val="0"/>
    <w:pPr>
      <w:spacing w:after="120" w:line="360" w:lineRule="auto"/>
    </w:pPr>
    <w:rPr>
      <w:sz w:val="24"/>
      <w:szCs w:val="24"/>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p0"/>
    <w:basedOn w:val="1"/>
    <w:qFormat/>
    <w:uiPriority w:val="0"/>
    <w:pPr>
      <w:jc w:val="both"/>
    </w:pPr>
    <w:rPr>
      <w:rFonts w:ascii="Times New Roman" w:hAnsi="Times New Roman" w:cs="Times New Roman"/>
      <w:sz w:val="21"/>
      <w:szCs w:val="21"/>
      <w:lang w:eastAsia="zh-CN"/>
    </w:rPr>
  </w:style>
  <w:style w:type="character" w:customStyle="1" w:styleId="11">
    <w:name w:val="页脚 Char"/>
    <w:basedOn w:val="9"/>
    <w:link w:val="5"/>
    <w:qFormat/>
    <w:locked/>
    <w:uiPriority w:val="99"/>
    <w:rPr>
      <w:rFonts w:cs="Times New Roman"/>
      <w:sz w:val="18"/>
      <w:szCs w:val="18"/>
    </w:rPr>
  </w:style>
  <w:style w:type="character" w:customStyle="1" w:styleId="12">
    <w:name w:val="页眉 Char"/>
    <w:basedOn w:val="9"/>
    <w:link w:val="6"/>
    <w:qFormat/>
    <w:locked/>
    <w:uiPriority w:val="99"/>
    <w:rPr>
      <w:rFonts w:cs="Times New Roman"/>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1119</Words>
  <Characters>1194</Characters>
  <Lines>18</Lines>
  <Paragraphs>5</Paragraphs>
  <TotalTime>8</TotalTime>
  <ScaleCrop>false</ScaleCrop>
  <LinksUpToDate>false</LinksUpToDate>
  <CharactersWithSpaces>1199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2017-02-28T11:36:00Z</dcterms:created>
  <dc:creator>吴文岐</dc:creator>
  <cp:lastModifiedBy>唐倩/ZJFGS/CHNG</cp:lastModifiedBy>
  <cp:lastPrinted>2025-12-13T06:25:00Z</cp:lastPrinted>
  <dcterms:modified xsi:type="dcterms:W3CDTF">2025-12-23T01:53:20Z</dcterms:modified>
  <cp:revision>353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53E5A980C8954D288557C6331EF160FA</vt:lpwstr>
  </property>
</Properties>
</file>