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0EB0" w:rsidRDefault="00C84DC5">
      <w:pPr>
        <w:snapToGrid w:val="0"/>
        <w:rPr>
          <w:rFonts w:ascii="宋体" w:hAnsi="宋体"/>
          <w:sz w:val="32"/>
          <w:szCs w:val="24"/>
        </w:rPr>
      </w:pPr>
      <w:r>
        <w:rPr>
          <w:rFonts w:ascii="Times New Roman" w:hAnsi="Times New Roman"/>
          <w:noProof/>
          <w:szCs w:val="24"/>
        </w:rPr>
        <w:drawing>
          <wp:inline distT="0" distB="0" distL="0" distR="0">
            <wp:extent cx="4692650" cy="1026795"/>
            <wp:effectExtent l="19050" t="0" r="0" b="0"/>
            <wp:docPr id="2" name="图片 1" descr="E:\4.工作文档\1.生产管理部工作\华能荆门热电有限责任公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4.工作文档\1.生产管理部工作\华能荆门热电有限责任公司.png"/>
                    <pic:cNvPicPr>
                      <a:picLocks noChangeAspect="1" noChangeArrowheads="1"/>
                    </pic:cNvPicPr>
                  </pic:nvPicPr>
                  <pic:blipFill>
                    <a:blip r:embed="rId7"/>
                    <a:srcRect/>
                    <a:stretch>
                      <a:fillRect/>
                    </a:stretch>
                  </pic:blipFill>
                  <pic:spPr>
                    <a:xfrm>
                      <a:off x="0" y="0"/>
                      <a:ext cx="4692650" cy="1026795"/>
                    </a:xfrm>
                    <a:prstGeom prst="rect">
                      <a:avLst/>
                    </a:prstGeom>
                    <a:noFill/>
                    <a:ln w="9525">
                      <a:noFill/>
                      <a:miter lim="800000"/>
                      <a:headEnd/>
                      <a:tailEnd/>
                    </a:ln>
                  </pic:spPr>
                </pic:pic>
              </a:graphicData>
            </a:graphic>
          </wp:inline>
        </w:drawing>
      </w:r>
    </w:p>
    <w:p w:rsidR="007F0EB0" w:rsidRDefault="007F0EB0">
      <w:pPr>
        <w:rPr>
          <w:rFonts w:ascii="黑体" w:eastAsia="黑体" w:hAnsi="黑体"/>
          <w:sz w:val="44"/>
          <w:szCs w:val="44"/>
        </w:rPr>
      </w:pPr>
    </w:p>
    <w:p w:rsidR="007F0EB0" w:rsidRDefault="007F0EB0">
      <w:pPr>
        <w:snapToGrid w:val="0"/>
        <w:rPr>
          <w:rFonts w:ascii="黑体" w:eastAsia="黑体" w:hAnsi="黑体"/>
          <w:bCs/>
          <w:sz w:val="44"/>
          <w:szCs w:val="44"/>
        </w:rPr>
      </w:pPr>
    </w:p>
    <w:p w:rsidR="007F0EB0" w:rsidRDefault="00C84DC5">
      <w:pPr>
        <w:snapToGrid w:val="0"/>
        <w:jc w:val="center"/>
        <w:rPr>
          <w:rFonts w:ascii="黑体" w:eastAsia="黑体" w:hAnsi="黑体"/>
          <w:sz w:val="52"/>
          <w:szCs w:val="52"/>
        </w:rPr>
      </w:pPr>
      <w:r>
        <w:rPr>
          <w:rFonts w:ascii="黑体" w:eastAsia="黑体" w:hAnsi="黑体" w:hint="eastAsia"/>
          <w:sz w:val="52"/>
          <w:szCs w:val="52"/>
        </w:rPr>
        <w:t>202</w:t>
      </w:r>
      <w:r w:rsidR="00202E64">
        <w:rPr>
          <w:rFonts w:ascii="黑体" w:eastAsia="黑体" w:hAnsi="黑体" w:hint="eastAsia"/>
          <w:sz w:val="52"/>
          <w:szCs w:val="52"/>
        </w:rPr>
        <w:t>6</w:t>
      </w:r>
      <w:r>
        <w:rPr>
          <w:rFonts w:ascii="黑体" w:eastAsia="黑体" w:hAnsi="黑体" w:hint="eastAsia"/>
          <w:sz w:val="52"/>
          <w:szCs w:val="52"/>
        </w:rPr>
        <w:t>年度生产附属品销售框架协议</w:t>
      </w:r>
    </w:p>
    <w:p w:rsidR="007F0EB0" w:rsidRDefault="007F0EB0">
      <w:pPr>
        <w:snapToGrid w:val="0"/>
        <w:rPr>
          <w:rFonts w:ascii="黑体" w:eastAsia="黑体" w:hAnsi="黑体"/>
          <w:bCs/>
          <w:sz w:val="44"/>
          <w:szCs w:val="44"/>
        </w:rPr>
      </w:pPr>
    </w:p>
    <w:p w:rsidR="007F0EB0" w:rsidRDefault="00C84DC5">
      <w:pPr>
        <w:snapToGrid w:val="0"/>
        <w:jc w:val="center"/>
        <w:rPr>
          <w:rFonts w:ascii="黑体" w:eastAsia="黑体" w:hAnsi="黑体"/>
          <w:sz w:val="32"/>
          <w:szCs w:val="32"/>
        </w:rPr>
      </w:pPr>
      <w:r>
        <w:rPr>
          <w:rFonts w:ascii="黑体" w:eastAsia="黑体" w:hAnsi="黑体" w:hint="eastAsia"/>
          <w:sz w:val="32"/>
          <w:szCs w:val="32"/>
        </w:rPr>
        <w:t>（协议编号：</w:t>
      </w:r>
      <w:r>
        <w:rPr>
          <w:rFonts w:ascii="黑体" w:eastAsia="黑体" w:hAnsi="黑体"/>
          <w:sz w:val="32"/>
          <w:szCs w:val="32"/>
        </w:rPr>
        <w:t>HJRD-QT-SCB</w:t>
      </w:r>
      <w:r w:rsidRPr="00331385">
        <w:rPr>
          <w:rFonts w:ascii="黑体" w:eastAsia="黑体" w:hAnsi="黑体"/>
          <w:sz w:val="32"/>
          <w:szCs w:val="32"/>
        </w:rPr>
        <w:t>-</w:t>
      </w:r>
      <w:r w:rsidRPr="00B162A2">
        <w:rPr>
          <w:rFonts w:ascii="黑体" w:eastAsia="黑体" w:hAnsi="黑体"/>
          <w:sz w:val="32"/>
          <w:szCs w:val="32"/>
          <w:highlight w:val="yellow"/>
        </w:rPr>
        <w:t>202</w:t>
      </w:r>
      <w:r w:rsidR="00202E64">
        <w:rPr>
          <w:rFonts w:ascii="黑体" w:eastAsia="黑体" w:hAnsi="黑体" w:hint="eastAsia"/>
          <w:sz w:val="32"/>
          <w:szCs w:val="32"/>
          <w:highlight w:val="yellow"/>
        </w:rPr>
        <w:t>6</w:t>
      </w:r>
      <w:r w:rsidRPr="00B162A2">
        <w:rPr>
          <w:rFonts w:ascii="黑体" w:eastAsia="黑体" w:hAnsi="黑体"/>
          <w:sz w:val="32"/>
          <w:szCs w:val="32"/>
          <w:highlight w:val="yellow"/>
        </w:rPr>
        <w:t>-00</w:t>
      </w:r>
      <w:r w:rsidRPr="00B162A2">
        <w:rPr>
          <w:rFonts w:ascii="黑体" w:eastAsia="黑体" w:hAnsi="黑体" w:hint="eastAsia"/>
          <w:sz w:val="32"/>
          <w:szCs w:val="32"/>
          <w:highlight w:val="yellow"/>
        </w:rPr>
        <w:t>1/</w:t>
      </w:r>
      <w:r w:rsidR="004233C4">
        <w:rPr>
          <w:rFonts w:ascii="黑体" w:eastAsia="黑体" w:hAnsi="黑体" w:hint="eastAsia"/>
          <w:sz w:val="32"/>
          <w:szCs w:val="32"/>
          <w:highlight w:val="yellow"/>
        </w:rPr>
        <w:t>××</w:t>
      </w:r>
      <w:r w:rsidRPr="00331385">
        <w:rPr>
          <w:rFonts w:ascii="黑体" w:eastAsia="黑体" w:hAnsi="黑体" w:hint="eastAsia"/>
          <w:sz w:val="32"/>
          <w:szCs w:val="32"/>
        </w:rPr>
        <w:t>）</w:t>
      </w:r>
    </w:p>
    <w:p w:rsidR="007F0EB0" w:rsidRDefault="007F0EB0">
      <w:pPr>
        <w:snapToGrid w:val="0"/>
        <w:rPr>
          <w:rFonts w:ascii="黑体" w:eastAsia="黑体" w:hAnsi="黑体"/>
          <w:bCs/>
          <w:sz w:val="44"/>
          <w:szCs w:val="44"/>
        </w:rPr>
      </w:pPr>
    </w:p>
    <w:p w:rsidR="007F0EB0" w:rsidRPr="00202E64" w:rsidRDefault="007F0EB0">
      <w:pPr>
        <w:snapToGrid w:val="0"/>
        <w:rPr>
          <w:rFonts w:ascii="黑体" w:eastAsia="黑体" w:hAnsi="黑体"/>
          <w:bCs/>
          <w:sz w:val="44"/>
          <w:szCs w:val="44"/>
        </w:rPr>
      </w:pPr>
    </w:p>
    <w:p w:rsidR="007F0EB0" w:rsidRDefault="007F0EB0">
      <w:pPr>
        <w:snapToGrid w:val="0"/>
        <w:rPr>
          <w:rFonts w:ascii="黑体" w:eastAsia="黑体" w:hAnsi="黑体"/>
          <w:bCs/>
          <w:sz w:val="44"/>
          <w:szCs w:val="44"/>
        </w:rPr>
      </w:pPr>
    </w:p>
    <w:p w:rsidR="007F0EB0" w:rsidRDefault="007F0EB0">
      <w:pPr>
        <w:snapToGrid w:val="0"/>
        <w:rPr>
          <w:rFonts w:ascii="黑体" w:eastAsia="黑体" w:hAnsi="黑体"/>
          <w:bCs/>
          <w:sz w:val="44"/>
          <w:szCs w:val="44"/>
        </w:rPr>
      </w:pPr>
    </w:p>
    <w:p w:rsidR="007F0EB0" w:rsidRDefault="007F0EB0">
      <w:pPr>
        <w:snapToGrid w:val="0"/>
        <w:rPr>
          <w:rFonts w:ascii="黑体" w:eastAsia="黑体" w:hAnsi="黑体"/>
          <w:bCs/>
          <w:sz w:val="44"/>
          <w:szCs w:val="44"/>
        </w:rPr>
      </w:pPr>
    </w:p>
    <w:p w:rsidR="007F0EB0" w:rsidRDefault="007F0EB0">
      <w:pPr>
        <w:snapToGrid w:val="0"/>
        <w:rPr>
          <w:rFonts w:ascii="黑体" w:eastAsia="黑体" w:hAnsi="黑体"/>
          <w:bCs/>
          <w:sz w:val="44"/>
          <w:szCs w:val="44"/>
        </w:rPr>
      </w:pPr>
    </w:p>
    <w:p w:rsidR="007F0EB0" w:rsidRDefault="007F0EB0">
      <w:pPr>
        <w:snapToGrid w:val="0"/>
        <w:rPr>
          <w:rFonts w:ascii="黑体" w:eastAsia="黑体" w:hAnsi="黑体"/>
          <w:bCs/>
          <w:sz w:val="44"/>
          <w:szCs w:val="44"/>
        </w:rPr>
      </w:pPr>
    </w:p>
    <w:p w:rsidR="007F0EB0" w:rsidRDefault="007F0EB0">
      <w:pPr>
        <w:snapToGrid w:val="0"/>
        <w:rPr>
          <w:rFonts w:ascii="黑体" w:eastAsia="黑体" w:hAnsi="黑体"/>
          <w:bCs/>
          <w:sz w:val="44"/>
          <w:szCs w:val="44"/>
        </w:rPr>
      </w:pPr>
    </w:p>
    <w:p w:rsidR="007F0EB0" w:rsidRDefault="007F0EB0">
      <w:pPr>
        <w:snapToGrid w:val="0"/>
        <w:rPr>
          <w:rFonts w:ascii="黑体" w:eastAsia="黑体" w:hAnsi="黑体"/>
          <w:bCs/>
          <w:sz w:val="44"/>
          <w:szCs w:val="44"/>
        </w:rPr>
      </w:pPr>
    </w:p>
    <w:p w:rsidR="007F0EB0" w:rsidRDefault="00C84DC5" w:rsidP="00A53766">
      <w:pPr>
        <w:snapToGrid w:val="0"/>
        <w:ind w:firstLineChars="620" w:firstLine="1984"/>
        <w:jc w:val="left"/>
        <w:rPr>
          <w:rFonts w:ascii="黑体" w:eastAsia="黑体" w:hAnsi="宋体"/>
          <w:sz w:val="32"/>
          <w:szCs w:val="32"/>
        </w:rPr>
      </w:pPr>
      <w:r>
        <w:rPr>
          <w:rFonts w:ascii="黑体" w:eastAsia="黑体" w:hAnsi="宋体" w:hint="eastAsia"/>
          <w:sz w:val="32"/>
          <w:szCs w:val="32"/>
        </w:rPr>
        <w:t>供</w:t>
      </w:r>
      <w:r>
        <w:rPr>
          <w:rFonts w:ascii="黑体" w:eastAsia="黑体" w:hAnsi="宋体"/>
          <w:sz w:val="32"/>
          <w:szCs w:val="32"/>
        </w:rPr>
        <w:t>方</w:t>
      </w:r>
      <w:r>
        <w:rPr>
          <w:rFonts w:ascii="黑体" w:eastAsia="黑体" w:hAnsi="宋体" w:hint="eastAsia"/>
          <w:sz w:val="32"/>
          <w:szCs w:val="32"/>
        </w:rPr>
        <w:t>：华能荆门热电有限责任公司</w:t>
      </w:r>
    </w:p>
    <w:p w:rsidR="007F0EB0" w:rsidRDefault="00C84DC5" w:rsidP="00A53766">
      <w:pPr>
        <w:snapToGrid w:val="0"/>
        <w:ind w:firstLineChars="620" w:firstLine="1984"/>
        <w:jc w:val="left"/>
        <w:rPr>
          <w:rFonts w:ascii="黑体" w:eastAsia="黑体" w:hAnsi="宋体"/>
          <w:sz w:val="32"/>
          <w:szCs w:val="32"/>
        </w:rPr>
      </w:pPr>
      <w:r>
        <w:rPr>
          <w:rFonts w:ascii="黑体" w:eastAsia="黑体" w:hAnsi="宋体" w:hint="eastAsia"/>
          <w:sz w:val="32"/>
          <w:szCs w:val="32"/>
        </w:rPr>
        <w:t>需</w:t>
      </w:r>
      <w:r>
        <w:rPr>
          <w:rFonts w:ascii="黑体" w:eastAsia="黑体" w:hAnsi="宋体"/>
          <w:sz w:val="32"/>
          <w:szCs w:val="32"/>
        </w:rPr>
        <w:t>方</w:t>
      </w:r>
      <w:r>
        <w:rPr>
          <w:rFonts w:ascii="黑体" w:eastAsia="黑体" w:hAnsi="宋体" w:hint="eastAsia"/>
          <w:sz w:val="32"/>
          <w:szCs w:val="32"/>
        </w:rPr>
        <w:t>：</w:t>
      </w:r>
    </w:p>
    <w:p w:rsidR="007F0EB0" w:rsidRDefault="007F0EB0">
      <w:pPr>
        <w:snapToGrid w:val="0"/>
        <w:rPr>
          <w:rFonts w:ascii="黑体" w:eastAsia="黑体" w:hAnsi="黑体"/>
          <w:bCs/>
          <w:sz w:val="44"/>
          <w:szCs w:val="44"/>
        </w:rPr>
      </w:pPr>
    </w:p>
    <w:p w:rsidR="007F0EB0" w:rsidRDefault="007F0EB0">
      <w:pPr>
        <w:snapToGrid w:val="0"/>
        <w:rPr>
          <w:rFonts w:ascii="黑体" w:eastAsia="黑体" w:hAnsi="黑体"/>
          <w:bCs/>
          <w:sz w:val="44"/>
          <w:szCs w:val="44"/>
        </w:rPr>
      </w:pPr>
    </w:p>
    <w:p w:rsidR="007F0EB0" w:rsidRDefault="007F0EB0">
      <w:pPr>
        <w:snapToGrid w:val="0"/>
        <w:rPr>
          <w:rFonts w:ascii="黑体" w:eastAsia="黑体" w:hAnsi="黑体"/>
          <w:bCs/>
          <w:sz w:val="44"/>
          <w:szCs w:val="44"/>
        </w:rPr>
      </w:pPr>
    </w:p>
    <w:p w:rsidR="007F0EB0" w:rsidRDefault="00C84DC5" w:rsidP="00A53766">
      <w:pPr>
        <w:snapToGrid w:val="0"/>
        <w:ind w:firstLineChars="708" w:firstLine="2549"/>
        <w:jc w:val="left"/>
        <w:rPr>
          <w:rFonts w:ascii="黑体" w:eastAsia="黑体" w:hAnsi="黑体"/>
          <w:sz w:val="36"/>
          <w:szCs w:val="36"/>
        </w:rPr>
      </w:pPr>
      <w:r>
        <w:rPr>
          <w:rFonts w:ascii="黑体" w:eastAsia="黑体" w:hAnsi="黑体" w:hint="eastAsia"/>
          <w:sz w:val="36"/>
          <w:szCs w:val="36"/>
        </w:rPr>
        <w:t>签订地点：</w:t>
      </w:r>
      <w:proofErr w:type="gramStart"/>
      <w:r>
        <w:rPr>
          <w:rFonts w:ascii="黑体" w:eastAsia="黑体" w:hAnsi="黑体" w:hint="eastAsia"/>
          <w:sz w:val="36"/>
          <w:szCs w:val="36"/>
        </w:rPr>
        <w:t>荆</w:t>
      </w:r>
      <w:proofErr w:type="gramEnd"/>
      <w:r>
        <w:rPr>
          <w:rFonts w:ascii="黑体" w:eastAsia="黑体" w:hAnsi="黑体" w:hint="eastAsia"/>
          <w:sz w:val="36"/>
          <w:szCs w:val="36"/>
        </w:rPr>
        <w:t>门市</w:t>
      </w:r>
    </w:p>
    <w:p w:rsidR="007F0EB0" w:rsidRDefault="00C84DC5" w:rsidP="00A53766">
      <w:pPr>
        <w:widowControl/>
        <w:ind w:firstLineChars="708" w:firstLine="2549"/>
        <w:jc w:val="left"/>
        <w:rPr>
          <w:rFonts w:ascii="黑体" w:eastAsia="黑体" w:hAnsi="黑体"/>
          <w:sz w:val="36"/>
          <w:szCs w:val="36"/>
        </w:rPr>
      </w:pPr>
      <w:r>
        <w:rPr>
          <w:rFonts w:ascii="黑体" w:eastAsia="黑体" w:hAnsi="黑体" w:hint="eastAsia"/>
          <w:sz w:val="36"/>
          <w:szCs w:val="36"/>
        </w:rPr>
        <w:t>签订日期：</w:t>
      </w:r>
      <w:r>
        <w:rPr>
          <w:rFonts w:ascii="黑体" w:eastAsia="黑体" w:hAnsi="黑体"/>
          <w:sz w:val="36"/>
          <w:szCs w:val="36"/>
        </w:rPr>
        <w:t>202</w:t>
      </w:r>
      <w:r w:rsidR="00202E64">
        <w:rPr>
          <w:rFonts w:ascii="黑体" w:eastAsia="黑体" w:hAnsi="黑体" w:hint="eastAsia"/>
          <w:sz w:val="36"/>
          <w:szCs w:val="36"/>
        </w:rPr>
        <w:t>6</w:t>
      </w:r>
      <w:r>
        <w:rPr>
          <w:rFonts w:ascii="黑体" w:eastAsia="黑体" w:hAnsi="黑体" w:hint="eastAsia"/>
          <w:sz w:val="36"/>
          <w:szCs w:val="36"/>
        </w:rPr>
        <w:t>年</w:t>
      </w:r>
      <w:r w:rsidR="00A53766">
        <w:rPr>
          <w:rFonts w:ascii="黑体" w:eastAsia="黑体" w:hAnsi="黑体"/>
          <w:sz w:val="36"/>
          <w:szCs w:val="36"/>
        </w:rPr>
        <w:t xml:space="preserve">  </w:t>
      </w:r>
      <w:r>
        <w:rPr>
          <w:rFonts w:ascii="黑体" w:eastAsia="黑体" w:hAnsi="黑体" w:hint="eastAsia"/>
          <w:sz w:val="36"/>
          <w:szCs w:val="36"/>
        </w:rPr>
        <w:t>月</w:t>
      </w:r>
      <w:bookmarkStart w:id="0" w:name="_GoBack"/>
      <w:bookmarkEnd w:id="0"/>
    </w:p>
    <w:sdt>
      <w:sdtPr>
        <w:rPr>
          <w:rFonts w:ascii="Calibri" w:eastAsia="宋体" w:hAnsi="Calibri" w:cs="Times New Roman"/>
          <w:b w:val="0"/>
          <w:bCs w:val="0"/>
          <w:color w:val="auto"/>
          <w:kern w:val="2"/>
          <w:sz w:val="36"/>
          <w:szCs w:val="36"/>
          <w:lang w:val="zh-CN"/>
        </w:rPr>
        <w:id w:val="197270176"/>
        <w:docPartObj>
          <w:docPartGallery w:val="Table of Contents"/>
          <w:docPartUnique/>
        </w:docPartObj>
      </w:sdtPr>
      <w:sdtEndPr>
        <w:rPr>
          <w:sz w:val="21"/>
          <w:szCs w:val="22"/>
          <w:lang w:val="en-US"/>
        </w:rPr>
      </w:sdtEndPr>
      <w:sdtContent>
        <w:p w:rsidR="007F0EB0" w:rsidRPr="00836693" w:rsidRDefault="00C84DC5">
          <w:pPr>
            <w:pStyle w:val="TOC1"/>
            <w:jc w:val="center"/>
            <w:rPr>
              <w:sz w:val="36"/>
              <w:szCs w:val="36"/>
            </w:rPr>
          </w:pPr>
          <w:r w:rsidRPr="00836693">
            <w:rPr>
              <w:sz w:val="36"/>
              <w:szCs w:val="36"/>
              <w:lang w:val="zh-CN"/>
            </w:rPr>
            <w:t>目</w:t>
          </w:r>
          <w:r w:rsidR="00836693">
            <w:rPr>
              <w:rFonts w:hint="eastAsia"/>
              <w:sz w:val="36"/>
              <w:szCs w:val="36"/>
              <w:lang w:val="zh-CN"/>
            </w:rPr>
            <w:t xml:space="preserve"> </w:t>
          </w:r>
          <w:r w:rsidR="00836693">
            <w:rPr>
              <w:sz w:val="36"/>
              <w:szCs w:val="36"/>
              <w:lang w:val="zh-CN"/>
            </w:rPr>
            <w:t xml:space="preserve"> </w:t>
          </w:r>
          <w:r w:rsidRPr="00836693">
            <w:rPr>
              <w:sz w:val="36"/>
              <w:szCs w:val="36"/>
              <w:lang w:val="zh-CN"/>
            </w:rPr>
            <w:t>录</w:t>
          </w:r>
        </w:p>
        <w:p w:rsidR="00D13779" w:rsidRDefault="00C84DC5" w:rsidP="00836693">
          <w:pPr>
            <w:pStyle w:val="10"/>
            <w:tabs>
              <w:tab w:val="right" w:leader="dot" w:pos="8720"/>
            </w:tabs>
            <w:adjustRightInd w:val="0"/>
            <w:snapToGrid w:val="0"/>
            <w:spacing w:line="480" w:lineRule="auto"/>
            <w:rPr>
              <w:rFonts w:asciiTheme="minorHAnsi" w:eastAsiaTheme="minorEastAsia" w:hAnsiTheme="minorHAnsi" w:cstheme="minorBidi"/>
              <w:noProof/>
            </w:rPr>
          </w:pPr>
          <w:r>
            <w:rPr>
              <w:rFonts w:ascii="仿宋_GB2312" w:eastAsia="仿宋_GB2312" w:hint="eastAsia"/>
              <w:sz w:val="28"/>
              <w:szCs w:val="28"/>
            </w:rPr>
            <w:fldChar w:fldCharType="begin"/>
          </w:r>
          <w:r>
            <w:rPr>
              <w:rFonts w:ascii="仿宋_GB2312" w:eastAsia="仿宋_GB2312" w:hint="eastAsia"/>
              <w:sz w:val="28"/>
              <w:szCs w:val="28"/>
            </w:rPr>
            <w:instrText xml:space="preserve"> TOC \o "1-3" \h \z \u </w:instrText>
          </w:r>
          <w:r>
            <w:rPr>
              <w:rFonts w:ascii="仿宋_GB2312" w:eastAsia="仿宋_GB2312" w:hint="eastAsia"/>
              <w:sz w:val="28"/>
              <w:szCs w:val="28"/>
            </w:rPr>
            <w:fldChar w:fldCharType="separate"/>
          </w:r>
          <w:hyperlink w:anchor="_Toc155966898" w:history="1">
            <w:r w:rsidR="00D13779" w:rsidRPr="00884ED6">
              <w:rPr>
                <w:rStyle w:val="ac"/>
                <w:rFonts w:ascii="黑体" w:eastAsia="黑体" w:hAnsi="黑体" w:hint="eastAsia"/>
                <w:noProof/>
              </w:rPr>
              <w:t>一、供货类型、单价、数量</w:t>
            </w:r>
            <w:r w:rsidR="00D13779">
              <w:rPr>
                <w:noProof/>
                <w:webHidden/>
              </w:rPr>
              <w:tab/>
            </w:r>
            <w:r w:rsidR="00D13779">
              <w:rPr>
                <w:noProof/>
                <w:webHidden/>
              </w:rPr>
              <w:fldChar w:fldCharType="begin"/>
            </w:r>
            <w:r w:rsidR="00D13779">
              <w:rPr>
                <w:noProof/>
                <w:webHidden/>
              </w:rPr>
              <w:instrText xml:space="preserve"> PAGEREF _Toc155966898 \h </w:instrText>
            </w:r>
            <w:r w:rsidR="00D13779">
              <w:rPr>
                <w:noProof/>
                <w:webHidden/>
              </w:rPr>
            </w:r>
            <w:r w:rsidR="00D13779">
              <w:rPr>
                <w:noProof/>
                <w:webHidden/>
              </w:rPr>
              <w:fldChar w:fldCharType="separate"/>
            </w:r>
            <w:r w:rsidR="00664A82">
              <w:rPr>
                <w:noProof/>
                <w:webHidden/>
              </w:rPr>
              <w:t>1</w:t>
            </w:r>
            <w:r w:rsidR="00D13779">
              <w:rPr>
                <w:noProof/>
                <w:webHidden/>
              </w:rPr>
              <w:fldChar w:fldCharType="end"/>
            </w:r>
          </w:hyperlink>
        </w:p>
        <w:p w:rsidR="00D13779" w:rsidRDefault="00A52FE0" w:rsidP="00836693">
          <w:pPr>
            <w:pStyle w:val="10"/>
            <w:tabs>
              <w:tab w:val="right" w:leader="dot" w:pos="8720"/>
            </w:tabs>
            <w:adjustRightInd w:val="0"/>
            <w:snapToGrid w:val="0"/>
            <w:spacing w:line="480" w:lineRule="auto"/>
            <w:rPr>
              <w:rFonts w:asciiTheme="minorHAnsi" w:eastAsiaTheme="minorEastAsia" w:hAnsiTheme="minorHAnsi" w:cstheme="minorBidi"/>
              <w:noProof/>
            </w:rPr>
          </w:pPr>
          <w:hyperlink w:anchor="_Toc155966899" w:history="1">
            <w:r w:rsidR="00D13779" w:rsidRPr="00884ED6">
              <w:rPr>
                <w:rStyle w:val="ac"/>
                <w:rFonts w:ascii="黑体" w:eastAsia="黑体" w:hAnsi="黑体" w:hint="eastAsia"/>
                <w:noProof/>
              </w:rPr>
              <w:t>二、货品的质量和提货的安全环保事项</w:t>
            </w:r>
            <w:r w:rsidR="00D13779">
              <w:rPr>
                <w:noProof/>
                <w:webHidden/>
              </w:rPr>
              <w:tab/>
            </w:r>
            <w:r w:rsidR="00D13779">
              <w:rPr>
                <w:noProof/>
                <w:webHidden/>
              </w:rPr>
              <w:fldChar w:fldCharType="begin"/>
            </w:r>
            <w:r w:rsidR="00D13779">
              <w:rPr>
                <w:noProof/>
                <w:webHidden/>
              </w:rPr>
              <w:instrText xml:space="preserve"> PAGEREF _Toc155966899 \h </w:instrText>
            </w:r>
            <w:r w:rsidR="00D13779">
              <w:rPr>
                <w:noProof/>
                <w:webHidden/>
              </w:rPr>
            </w:r>
            <w:r w:rsidR="00D13779">
              <w:rPr>
                <w:noProof/>
                <w:webHidden/>
              </w:rPr>
              <w:fldChar w:fldCharType="separate"/>
            </w:r>
            <w:r w:rsidR="00664A82">
              <w:rPr>
                <w:noProof/>
                <w:webHidden/>
              </w:rPr>
              <w:t>1</w:t>
            </w:r>
            <w:r w:rsidR="00D13779">
              <w:rPr>
                <w:noProof/>
                <w:webHidden/>
              </w:rPr>
              <w:fldChar w:fldCharType="end"/>
            </w:r>
          </w:hyperlink>
        </w:p>
        <w:p w:rsidR="00D13779" w:rsidRDefault="00A52FE0" w:rsidP="00836693">
          <w:pPr>
            <w:pStyle w:val="10"/>
            <w:tabs>
              <w:tab w:val="right" w:leader="dot" w:pos="8720"/>
            </w:tabs>
            <w:adjustRightInd w:val="0"/>
            <w:snapToGrid w:val="0"/>
            <w:spacing w:line="480" w:lineRule="auto"/>
            <w:rPr>
              <w:rFonts w:asciiTheme="minorHAnsi" w:eastAsiaTheme="minorEastAsia" w:hAnsiTheme="minorHAnsi" w:cstheme="minorBidi"/>
              <w:noProof/>
            </w:rPr>
          </w:pPr>
          <w:hyperlink w:anchor="_Toc155966900" w:history="1">
            <w:r w:rsidR="00D13779" w:rsidRPr="00884ED6">
              <w:rPr>
                <w:rStyle w:val="ac"/>
                <w:rFonts w:ascii="黑体" w:eastAsia="黑体" w:hAnsi="黑体" w:hint="eastAsia"/>
                <w:noProof/>
              </w:rPr>
              <w:t>三、结算方式：</w:t>
            </w:r>
            <w:r w:rsidR="00D13779">
              <w:rPr>
                <w:noProof/>
                <w:webHidden/>
              </w:rPr>
              <w:tab/>
            </w:r>
            <w:r w:rsidR="00D13779">
              <w:rPr>
                <w:noProof/>
                <w:webHidden/>
              </w:rPr>
              <w:fldChar w:fldCharType="begin"/>
            </w:r>
            <w:r w:rsidR="00D13779">
              <w:rPr>
                <w:noProof/>
                <w:webHidden/>
              </w:rPr>
              <w:instrText xml:space="preserve"> PAGEREF _Toc155966900 \h </w:instrText>
            </w:r>
            <w:r w:rsidR="00D13779">
              <w:rPr>
                <w:noProof/>
                <w:webHidden/>
              </w:rPr>
            </w:r>
            <w:r w:rsidR="00D13779">
              <w:rPr>
                <w:noProof/>
                <w:webHidden/>
              </w:rPr>
              <w:fldChar w:fldCharType="separate"/>
            </w:r>
            <w:r w:rsidR="00664A82">
              <w:rPr>
                <w:noProof/>
                <w:webHidden/>
              </w:rPr>
              <w:t>2</w:t>
            </w:r>
            <w:r w:rsidR="00D13779">
              <w:rPr>
                <w:noProof/>
                <w:webHidden/>
              </w:rPr>
              <w:fldChar w:fldCharType="end"/>
            </w:r>
          </w:hyperlink>
        </w:p>
        <w:p w:rsidR="00D13779" w:rsidRDefault="00A52FE0" w:rsidP="00836693">
          <w:pPr>
            <w:pStyle w:val="10"/>
            <w:tabs>
              <w:tab w:val="right" w:leader="dot" w:pos="8720"/>
            </w:tabs>
            <w:adjustRightInd w:val="0"/>
            <w:snapToGrid w:val="0"/>
            <w:spacing w:line="480" w:lineRule="auto"/>
            <w:rPr>
              <w:rFonts w:asciiTheme="minorHAnsi" w:eastAsiaTheme="minorEastAsia" w:hAnsiTheme="minorHAnsi" w:cstheme="minorBidi"/>
              <w:noProof/>
            </w:rPr>
          </w:pPr>
          <w:hyperlink w:anchor="_Toc155966901" w:history="1">
            <w:r w:rsidR="00D13779" w:rsidRPr="00884ED6">
              <w:rPr>
                <w:rStyle w:val="ac"/>
                <w:rFonts w:ascii="黑体" w:eastAsia="黑体" w:hAnsi="黑体" w:hint="eastAsia"/>
                <w:noProof/>
              </w:rPr>
              <w:t>四、包装、运输、储存方式及交货地点</w:t>
            </w:r>
            <w:r w:rsidR="00D13779">
              <w:rPr>
                <w:noProof/>
                <w:webHidden/>
              </w:rPr>
              <w:tab/>
            </w:r>
            <w:r w:rsidR="00D13779">
              <w:rPr>
                <w:noProof/>
                <w:webHidden/>
              </w:rPr>
              <w:fldChar w:fldCharType="begin"/>
            </w:r>
            <w:r w:rsidR="00D13779">
              <w:rPr>
                <w:noProof/>
                <w:webHidden/>
              </w:rPr>
              <w:instrText xml:space="preserve"> PAGEREF _Toc155966901 \h </w:instrText>
            </w:r>
            <w:r w:rsidR="00D13779">
              <w:rPr>
                <w:noProof/>
                <w:webHidden/>
              </w:rPr>
            </w:r>
            <w:r w:rsidR="00D13779">
              <w:rPr>
                <w:noProof/>
                <w:webHidden/>
              </w:rPr>
              <w:fldChar w:fldCharType="separate"/>
            </w:r>
            <w:r w:rsidR="00664A82">
              <w:rPr>
                <w:noProof/>
                <w:webHidden/>
              </w:rPr>
              <w:t>2</w:t>
            </w:r>
            <w:r w:rsidR="00D13779">
              <w:rPr>
                <w:noProof/>
                <w:webHidden/>
              </w:rPr>
              <w:fldChar w:fldCharType="end"/>
            </w:r>
          </w:hyperlink>
        </w:p>
        <w:p w:rsidR="00D13779" w:rsidRDefault="00A52FE0" w:rsidP="00836693">
          <w:pPr>
            <w:pStyle w:val="10"/>
            <w:tabs>
              <w:tab w:val="right" w:leader="dot" w:pos="8720"/>
            </w:tabs>
            <w:adjustRightInd w:val="0"/>
            <w:snapToGrid w:val="0"/>
            <w:spacing w:line="480" w:lineRule="auto"/>
            <w:rPr>
              <w:rFonts w:asciiTheme="minorHAnsi" w:eastAsiaTheme="minorEastAsia" w:hAnsiTheme="minorHAnsi" w:cstheme="minorBidi"/>
              <w:noProof/>
            </w:rPr>
          </w:pPr>
          <w:hyperlink w:anchor="_Toc155966902" w:history="1">
            <w:r w:rsidR="00D13779" w:rsidRPr="00884ED6">
              <w:rPr>
                <w:rStyle w:val="ac"/>
                <w:rFonts w:ascii="黑体" w:eastAsia="黑体" w:hAnsi="黑体" w:hint="eastAsia"/>
                <w:noProof/>
              </w:rPr>
              <w:t>五、计量方式</w:t>
            </w:r>
            <w:r w:rsidR="00D13779">
              <w:rPr>
                <w:noProof/>
                <w:webHidden/>
              </w:rPr>
              <w:tab/>
            </w:r>
            <w:r w:rsidR="00D13779">
              <w:rPr>
                <w:noProof/>
                <w:webHidden/>
              </w:rPr>
              <w:fldChar w:fldCharType="begin"/>
            </w:r>
            <w:r w:rsidR="00D13779">
              <w:rPr>
                <w:noProof/>
                <w:webHidden/>
              </w:rPr>
              <w:instrText xml:space="preserve"> PAGEREF _Toc155966902 \h </w:instrText>
            </w:r>
            <w:r w:rsidR="00D13779">
              <w:rPr>
                <w:noProof/>
                <w:webHidden/>
              </w:rPr>
            </w:r>
            <w:r w:rsidR="00D13779">
              <w:rPr>
                <w:noProof/>
                <w:webHidden/>
              </w:rPr>
              <w:fldChar w:fldCharType="separate"/>
            </w:r>
            <w:r w:rsidR="00664A82">
              <w:rPr>
                <w:noProof/>
                <w:webHidden/>
              </w:rPr>
              <w:t>2</w:t>
            </w:r>
            <w:r w:rsidR="00D13779">
              <w:rPr>
                <w:noProof/>
                <w:webHidden/>
              </w:rPr>
              <w:fldChar w:fldCharType="end"/>
            </w:r>
          </w:hyperlink>
        </w:p>
        <w:p w:rsidR="00D13779" w:rsidRDefault="00A52FE0" w:rsidP="00836693">
          <w:pPr>
            <w:pStyle w:val="10"/>
            <w:tabs>
              <w:tab w:val="right" w:leader="dot" w:pos="8720"/>
            </w:tabs>
            <w:adjustRightInd w:val="0"/>
            <w:snapToGrid w:val="0"/>
            <w:spacing w:line="480" w:lineRule="auto"/>
            <w:rPr>
              <w:rFonts w:asciiTheme="minorHAnsi" w:eastAsiaTheme="minorEastAsia" w:hAnsiTheme="minorHAnsi" w:cstheme="minorBidi"/>
              <w:noProof/>
            </w:rPr>
          </w:pPr>
          <w:hyperlink w:anchor="_Toc155966903" w:history="1">
            <w:r w:rsidR="00D13779" w:rsidRPr="00884ED6">
              <w:rPr>
                <w:rStyle w:val="ac"/>
                <w:rFonts w:ascii="黑体" w:eastAsia="黑体" w:hAnsi="黑体" w:hint="eastAsia"/>
                <w:noProof/>
              </w:rPr>
              <w:t>六、协议期限</w:t>
            </w:r>
            <w:r w:rsidR="00D13779">
              <w:rPr>
                <w:noProof/>
                <w:webHidden/>
              </w:rPr>
              <w:tab/>
            </w:r>
            <w:r w:rsidR="00D13779">
              <w:rPr>
                <w:noProof/>
                <w:webHidden/>
              </w:rPr>
              <w:fldChar w:fldCharType="begin"/>
            </w:r>
            <w:r w:rsidR="00D13779">
              <w:rPr>
                <w:noProof/>
                <w:webHidden/>
              </w:rPr>
              <w:instrText xml:space="preserve"> PAGEREF _Toc155966903 \h </w:instrText>
            </w:r>
            <w:r w:rsidR="00D13779">
              <w:rPr>
                <w:noProof/>
                <w:webHidden/>
              </w:rPr>
            </w:r>
            <w:r w:rsidR="00D13779">
              <w:rPr>
                <w:noProof/>
                <w:webHidden/>
              </w:rPr>
              <w:fldChar w:fldCharType="separate"/>
            </w:r>
            <w:r w:rsidR="00664A82">
              <w:rPr>
                <w:noProof/>
                <w:webHidden/>
              </w:rPr>
              <w:t>2</w:t>
            </w:r>
            <w:r w:rsidR="00D13779">
              <w:rPr>
                <w:noProof/>
                <w:webHidden/>
              </w:rPr>
              <w:fldChar w:fldCharType="end"/>
            </w:r>
          </w:hyperlink>
        </w:p>
        <w:p w:rsidR="00D13779" w:rsidRDefault="00A52FE0" w:rsidP="00836693">
          <w:pPr>
            <w:pStyle w:val="10"/>
            <w:tabs>
              <w:tab w:val="right" w:leader="dot" w:pos="8720"/>
            </w:tabs>
            <w:adjustRightInd w:val="0"/>
            <w:snapToGrid w:val="0"/>
            <w:spacing w:line="480" w:lineRule="auto"/>
            <w:rPr>
              <w:rFonts w:asciiTheme="minorHAnsi" w:eastAsiaTheme="minorEastAsia" w:hAnsiTheme="minorHAnsi" w:cstheme="minorBidi"/>
              <w:noProof/>
            </w:rPr>
          </w:pPr>
          <w:hyperlink w:anchor="_Toc155966904" w:history="1">
            <w:r w:rsidR="00D13779" w:rsidRPr="00884ED6">
              <w:rPr>
                <w:rStyle w:val="ac"/>
                <w:rFonts w:ascii="黑体" w:eastAsia="黑体" w:hAnsi="黑体" w:hint="eastAsia"/>
                <w:noProof/>
              </w:rPr>
              <w:t>七、违约责任</w:t>
            </w:r>
            <w:r w:rsidR="00D13779">
              <w:rPr>
                <w:noProof/>
                <w:webHidden/>
              </w:rPr>
              <w:tab/>
            </w:r>
            <w:r w:rsidR="00D13779">
              <w:rPr>
                <w:noProof/>
                <w:webHidden/>
              </w:rPr>
              <w:fldChar w:fldCharType="begin"/>
            </w:r>
            <w:r w:rsidR="00D13779">
              <w:rPr>
                <w:noProof/>
                <w:webHidden/>
              </w:rPr>
              <w:instrText xml:space="preserve"> PAGEREF _Toc155966904 \h </w:instrText>
            </w:r>
            <w:r w:rsidR="00D13779">
              <w:rPr>
                <w:noProof/>
                <w:webHidden/>
              </w:rPr>
            </w:r>
            <w:r w:rsidR="00D13779">
              <w:rPr>
                <w:noProof/>
                <w:webHidden/>
              </w:rPr>
              <w:fldChar w:fldCharType="separate"/>
            </w:r>
            <w:r w:rsidR="00664A82">
              <w:rPr>
                <w:noProof/>
                <w:webHidden/>
              </w:rPr>
              <w:t>2</w:t>
            </w:r>
            <w:r w:rsidR="00D13779">
              <w:rPr>
                <w:noProof/>
                <w:webHidden/>
              </w:rPr>
              <w:fldChar w:fldCharType="end"/>
            </w:r>
          </w:hyperlink>
        </w:p>
        <w:p w:rsidR="00D13779" w:rsidRDefault="00A52FE0" w:rsidP="00836693">
          <w:pPr>
            <w:pStyle w:val="10"/>
            <w:tabs>
              <w:tab w:val="right" w:leader="dot" w:pos="8720"/>
            </w:tabs>
            <w:adjustRightInd w:val="0"/>
            <w:snapToGrid w:val="0"/>
            <w:spacing w:line="480" w:lineRule="auto"/>
            <w:rPr>
              <w:rFonts w:asciiTheme="minorHAnsi" w:eastAsiaTheme="minorEastAsia" w:hAnsiTheme="minorHAnsi" w:cstheme="minorBidi"/>
              <w:noProof/>
            </w:rPr>
          </w:pPr>
          <w:hyperlink w:anchor="_Toc155966905" w:history="1">
            <w:r w:rsidR="00D13779" w:rsidRPr="00884ED6">
              <w:rPr>
                <w:rStyle w:val="ac"/>
                <w:rFonts w:ascii="黑体" w:eastAsia="黑体" w:hAnsi="黑体" w:hint="eastAsia"/>
                <w:noProof/>
              </w:rPr>
              <w:t>八、纠纷的解决</w:t>
            </w:r>
            <w:r w:rsidR="00D13779">
              <w:rPr>
                <w:noProof/>
                <w:webHidden/>
              </w:rPr>
              <w:tab/>
            </w:r>
            <w:r w:rsidR="00D13779">
              <w:rPr>
                <w:noProof/>
                <w:webHidden/>
              </w:rPr>
              <w:fldChar w:fldCharType="begin"/>
            </w:r>
            <w:r w:rsidR="00D13779">
              <w:rPr>
                <w:noProof/>
                <w:webHidden/>
              </w:rPr>
              <w:instrText xml:space="preserve"> PAGEREF _Toc155966905 \h </w:instrText>
            </w:r>
            <w:r w:rsidR="00D13779">
              <w:rPr>
                <w:noProof/>
                <w:webHidden/>
              </w:rPr>
            </w:r>
            <w:r w:rsidR="00D13779">
              <w:rPr>
                <w:noProof/>
                <w:webHidden/>
              </w:rPr>
              <w:fldChar w:fldCharType="separate"/>
            </w:r>
            <w:r w:rsidR="00664A82">
              <w:rPr>
                <w:noProof/>
                <w:webHidden/>
              </w:rPr>
              <w:t>3</w:t>
            </w:r>
            <w:r w:rsidR="00D13779">
              <w:rPr>
                <w:noProof/>
                <w:webHidden/>
              </w:rPr>
              <w:fldChar w:fldCharType="end"/>
            </w:r>
          </w:hyperlink>
        </w:p>
        <w:p w:rsidR="00D13779" w:rsidRDefault="00A52FE0" w:rsidP="00836693">
          <w:pPr>
            <w:pStyle w:val="10"/>
            <w:tabs>
              <w:tab w:val="right" w:leader="dot" w:pos="8720"/>
            </w:tabs>
            <w:adjustRightInd w:val="0"/>
            <w:snapToGrid w:val="0"/>
            <w:spacing w:line="480" w:lineRule="auto"/>
            <w:rPr>
              <w:rFonts w:asciiTheme="minorHAnsi" w:eastAsiaTheme="minorEastAsia" w:hAnsiTheme="minorHAnsi" w:cstheme="minorBidi"/>
              <w:noProof/>
            </w:rPr>
          </w:pPr>
          <w:hyperlink w:anchor="_Toc155966906" w:history="1">
            <w:r w:rsidR="00D13779" w:rsidRPr="00884ED6">
              <w:rPr>
                <w:rStyle w:val="ac"/>
                <w:rFonts w:ascii="黑体" w:eastAsia="黑体" w:hAnsi="黑体" w:hint="eastAsia"/>
                <w:noProof/>
              </w:rPr>
              <w:t>九、其他约定</w:t>
            </w:r>
            <w:r w:rsidR="00D13779">
              <w:rPr>
                <w:noProof/>
                <w:webHidden/>
              </w:rPr>
              <w:tab/>
            </w:r>
            <w:r w:rsidR="00D13779">
              <w:rPr>
                <w:noProof/>
                <w:webHidden/>
              </w:rPr>
              <w:fldChar w:fldCharType="begin"/>
            </w:r>
            <w:r w:rsidR="00D13779">
              <w:rPr>
                <w:noProof/>
                <w:webHidden/>
              </w:rPr>
              <w:instrText xml:space="preserve"> PAGEREF _Toc155966906 \h </w:instrText>
            </w:r>
            <w:r w:rsidR="00D13779">
              <w:rPr>
                <w:noProof/>
                <w:webHidden/>
              </w:rPr>
            </w:r>
            <w:r w:rsidR="00D13779">
              <w:rPr>
                <w:noProof/>
                <w:webHidden/>
              </w:rPr>
              <w:fldChar w:fldCharType="separate"/>
            </w:r>
            <w:r w:rsidR="00664A82">
              <w:rPr>
                <w:noProof/>
                <w:webHidden/>
              </w:rPr>
              <w:t>3</w:t>
            </w:r>
            <w:r w:rsidR="00D13779">
              <w:rPr>
                <w:noProof/>
                <w:webHidden/>
              </w:rPr>
              <w:fldChar w:fldCharType="end"/>
            </w:r>
          </w:hyperlink>
        </w:p>
        <w:p w:rsidR="007F0EB0" w:rsidRDefault="00C84DC5" w:rsidP="00836693">
          <w:pPr>
            <w:adjustRightInd w:val="0"/>
            <w:snapToGrid w:val="0"/>
            <w:spacing w:line="480" w:lineRule="auto"/>
          </w:pPr>
          <w:r>
            <w:rPr>
              <w:rFonts w:ascii="仿宋_GB2312" w:eastAsia="仿宋_GB2312" w:hint="eastAsia"/>
              <w:sz w:val="28"/>
              <w:szCs w:val="28"/>
            </w:rPr>
            <w:fldChar w:fldCharType="end"/>
          </w:r>
        </w:p>
      </w:sdtContent>
    </w:sdt>
    <w:p w:rsidR="007F0EB0" w:rsidRDefault="007F0EB0" w:rsidP="00836693">
      <w:pPr>
        <w:adjustRightInd w:val="0"/>
        <w:snapToGrid w:val="0"/>
        <w:spacing w:line="480" w:lineRule="auto"/>
        <w:jc w:val="center"/>
        <w:rPr>
          <w:rFonts w:ascii="仿宋_GB2312" w:eastAsia="仿宋_GB2312"/>
          <w:b/>
          <w:sz w:val="44"/>
          <w:szCs w:val="44"/>
        </w:rPr>
        <w:sectPr w:rsidR="007F0EB0" w:rsidSect="00D13779">
          <w:headerReference w:type="default" r:id="rId8"/>
          <w:pgSz w:w="11906" w:h="16838"/>
          <w:pgMar w:top="1418" w:right="1588" w:bottom="1474" w:left="1588" w:header="851" w:footer="992" w:gutter="0"/>
          <w:pgNumType w:start="1"/>
          <w:cols w:space="425"/>
          <w:docGrid w:type="lines" w:linePitch="312"/>
        </w:sectPr>
      </w:pPr>
    </w:p>
    <w:p w:rsidR="007F0EB0" w:rsidRPr="00A53766" w:rsidRDefault="00C84DC5">
      <w:pPr>
        <w:spacing w:beforeLines="50" w:before="156"/>
        <w:jc w:val="center"/>
        <w:rPr>
          <w:rFonts w:ascii="方正小标宋简体" w:eastAsia="方正小标宋简体" w:hAnsi="黑体"/>
          <w:sz w:val="44"/>
          <w:szCs w:val="44"/>
        </w:rPr>
      </w:pPr>
      <w:r w:rsidRPr="00A53766">
        <w:rPr>
          <w:rFonts w:ascii="方正小标宋简体" w:eastAsia="方正小标宋简体" w:hAnsi="黑体" w:hint="eastAsia"/>
          <w:sz w:val="44"/>
          <w:szCs w:val="44"/>
        </w:rPr>
        <w:lastRenderedPageBreak/>
        <w:t>202</w:t>
      </w:r>
      <w:r w:rsidR="00202E64">
        <w:rPr>
          <w:rFonts w:ascii="方正小标宋简体" w:eastAsia="方正小标宋简体" w:hAnsi="黑体" w:hint="eastAsia"/>
          <w:sz w:val="44"/>
          <w:szCs w:val="44"/>
        </w:rPr>
        <w:t>6</w:t>
      </w:r>
      <w:r w:rsidRPr="00A53766">
        <w:rPr>
          <w:rFonts w:ascii="方正小标宋简体" w:eastAsia="方正小标宋简体" w:hAnsi="黑体" w:hint="eastAsia"/>
          <w:sz w:val="44"/>
          <w:szCs w:val="44"/>
        </w:rPr>
        <w:t>年度生产附属品销售框架协议</w:t>
      </w:r>
    </w:p>
    <w:p w:rsidR="00A53766" w:rsidRPr="00196868" w:rsidRDefault="00A53766" w:rsidP="00A53766">
      <w:pPr>
        <w:adjustRightInd w:val="0"/>
        <w:snapToGrid w:val="0"/>
        <w:spacing w:line="520" w:lineRule="exact"/>
        <w:rPr>
          <w:rFonts w:ascii="仿宋_GB2312" w:eastAsia="仿宋_GB2312" w:hAnsi="宋体"/>
          <w:sz w:val="28"/>
          <w:szCs w:val="28"/>
        </w:rPr>
      </w:pPr>
    </w:p>
    <w:p w:rsidR="007F0EB0" w:rsidRDefault="00C84DC5" w:rsidP="00A53766">
      <w:pPr>
        <w:adjustRightInd w:val="0"/>
        <w:snapToGrid w:val="0"/>
        <w:spacing w:line="520" w:lineRule="exact"/>
        <w:rPr>
          <w:rFonts w:ascii="仿宋_GB2312" w:eastAsia="仿宋_GB2312" w:hAnsi="宋体"/>
          <w:sz w:val="28"/>
          <w:szCs w:val="28"/>
        </w:rPr>
      </w:pPr>
      <w:r>
        <w:rPr>
          <w:rFonts w:ascii="仿宋_GB2312" w:eastAsia="仿宋_GB2312" w:hAnsi="宋体" w:hint="eastAsia"/>
          <w:sz w:val="28"/>
          <w:szCs w:val="28"/>
        </w:rPr>
        <w:t>供方：华能荆门热电有限责任公司</w:t>
      </w:r>
    </w:p>
    <w:p w:rsidR="007F0EB0" w:rsidRDefault="00C84DC5" w:rsidP="00A53766">
      <w:pPr>
        <w:adjustRightInd w:val="0"/>
        <w:snapToGrid w:val="0"/>
        <w:spacing w:line="520" w:lineRule="exact"/>
        <w:rPr>
          <w:rFonts w:ascii="仿宋_GB2312" w:eastAsia="仿宋_GB2312" w:hAnsi="宋体"/>
          <w:sz w:val="28"/>
          <w:szCs w:val="28"/>
        </w:rPr>
      </w:pPr>
      <w:r>
        <w:rPr>
          <w:rFonts w:ascii="仿宋_GB2312" w:eastAsia="仿宋_GB2312" w:hAnsi="宋体" w:hint="eastAsia"/>
          <w:sz w:val="28"/>
          <w:szCs w:val="28"/>
        </w:rPr>
        <w:t>需方：</w:t>
      </w:r>
    </w:p>
    <w:p w:rsidR="00A53766" w:rsidRDefault="00A53766" w:rsidP="00A53766">
      <w:pPr>
        <w:adjustRightInd w:val="0"/>
        <w:snapToGrid w:val="0"/>
        <w:spacing w:line="520" w:lineRule="exact"/>
        <w:ind w:firstLineChars="200" w:firstLine="560"/>
        <w:rPr>
          <w:rFonts w:ascii="仿宋_GB2312" w:eastAsia="仿宋_GB2312" w:hAnsi="宋体"/>
          <w:sz w:val="28"/>
          <w:szCs w:val="28"/>
        </w:rPr>
      </w:pPr>
    </w:p>
    <w:p w:rsidR="007F0EB0" w:rsidRDefault="00C84DC5"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依据《中华人民共和国民法典》及有关规定，经双方友好协商，签订本协议，以共同信守。</w:t>
      </w:r>
    </w:p>
    <w:p w:rsidR="007F0EB0" w:rsidRPr="00A53766" w:rsidRDefault="00C84DC5" w:rsidP="00A53766">
      <w:pPr>
        <w:adjustRightInd w:val="0"/>
        <w:snapToGrid w:val="0"/>
        <w:spacing w:line="520" w:lineRule="exact"/>
        <w:ind w:firstLineChars="200" w:firstLine="560"/>
        <w:outlineLvl w:val="0"/>
        <w:rPr>
          <w:rFonts w:ascii="黑体" w:eastAsia="黑体" w:hAnsi="黑体"/>
          <w:sz w:val="28"/>
          <w:szCs w:val="28"/>
        </w:rPr>
      </w:pPr>
      <w:bookmarkStart w:id="1" w:name="_Toc155966898"/>
      <w:r w:rsidRPr="00A53766">
        <w:rPr>
          <w:rFonts w:ascii="黑体" w:eastAsia="黑体" w:hAnsi="黑体" w:hint="eastAsia"/>
          <w:sz w:val="28"/>
          <w:szCs w:val="28"/>
        </w:rPr>
        <w:t>一、供货类型、单价、数量</w:t>
      </w:r>
      <w:bookmarkEnd w:id="1"/>
    </w:p>
    <w:p w:rsidR="007F0EB0" w:rsidRPr="00D13779" w:rsidRDefault="00C84DC5"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生产附属品为供方出产的粉煤灰、炉渣、脱硫石膏。供方</w:t>
      </w:r>
      <w:r>
        <w:rPr>
          <w:rFonts w:ascii="仿宋_GB2312" w:eastAsia="仿宋_GB2312" w:hAnsi="宋体"/>
          <w:sz w:val="28"/>
          <w:szCs w:val="28"/>
        </w:rPr>
        <w:t>根据生产</w:t>
      </w:r>
      <w:r>
        <w:rPr>
          <w:rFonts w:ascii="仿宋_GB2312" w:eastAsia="仿宋_GB2312" w:hAnsi="宋体" w:hint="eastAsia"/>
          <w:sz w:val="28"/>
          <w:szCs w:val="28"/>
        </w:rPr>
        <w:t>情况</w:t>
      </w:r>
      <w:r>
        <w:rPr>
          <w:rFonts w:ascii="仿宋_GB2312" w:eastAsia="仿宋_GB2312" w:hAnsi="宋体"/>
          <w:sz w:val="28"/>
          <w:szCs w:val="28"/>
        </w:rPr>
        <w:t>提供数量及基础单价，</w:t>
      </w:r>
      <w:r>
        <w:rPr>
          <w:rFonts w:ascii="仿宋_GB2312" w:eastAsia="仿宋_GB2312" w:hAnsi="宋体" w:hint="eastAsia"/>
          <w:sz w:val="28"/>
          <w:szCs w:val="28"/>
        </w:rPr>
        <w:t>并</w:t>
      </w:r>
      <w:r>
        <w:rPr>
          <w:rFonts w:ascii="仿宋_GB2312" w:eastAsia="仿宋_GB2312" w:hAnsi="宋体"/>
          <w:sz w:val="28"/>
          <w:szCs w:val="28"/>
        </w:rPr>
        <w:t>采取</w:t>
      </w:r>
      <w:r>
        <w:rPr>
          <w:rFonts w:ascii="仿宋_GB2312" w:eastAsia="仿宋_GB2312" w:hAnsi="宋体" w:hint="eastAsia"/>
          <w:sz w:val="28"/>
          <w:szCs w:val="28"/>
        </w:rPr>
        <w:t>竞价方式</w:t>
      </w:r>
      <w:r>
        <w:rPr>
          <w:rFonts w:ascii="仿宋_GB2312" w:eastAsia="仿宋_GB2312" w:hAnsi="宋体"/>
          <w:sz w:val="28"/>
          <w:szCs w:val="28"/>
        </w:rPr>
        <w:t>确定需方</w:t>
      </w:r>
      <w:r>
        <w:rPr>
          <w:rFonts w:ascii="仿宋_GB2312" w:eastAsia="仿宋_GB2312" w:hAnsi="宋体" w:hint="eastAsia"/>
          <w:sz w:val="28"/>
          <w:szCs w:val="28"/>
        </w:rPr>
        <w:t>的销售量及销售价格</w:t>
      </w:r>
      <w:r>
        <w:rPr>
          <w:rFonts w:ascii="仿宋_GB2312" w:eastAsia="仿宋_GB2312" w:hAnsi="宋体"/>
          <w:sz w:val="28"/>
          <w:szCs w:val="28"/>
        </w:rPr>
        <w:t>。</w:t>
      </w:r>
      <w:r>
        <w:rPr>
          <w:rFonts w:ascii="仿宋_GB2312" w:eastAsia="仿宋_GB2312" w:hAnsi="宋体" w:hint="eastAsia"/>
          <w:sz w:val="28"/>
          <w:szCs w:val="28"/>
        </w:rPr>
        <w:t>具体供货品种以供方“年度经销商评级结果”和供方最新发布的《生产附属品销售管理办法》确定。</w:t>
      </w:r>
      <w:r w:rsidRPr="00D13779">
        <w:rPr>
          <w:rFonts w:ascii="仿宋_GB2312" w:eastAsia="仿宋_GB2312" w:hAnsi="宋体" w:hint="eastAsia"/>
          <w:sz w:val="28"/>
          <w:szCs w:val="28"/>
        </w:rPr>
        <w:t>注：基础价格在运行过程中将随行就市，若价格发生变化时将以供方的通知为准。</w:t>
      </w:r>
      <w:r w:rsidRPr="007C60F0">
        <w:rPr>
          <w:rFonts w:ascii="仿宋_GB2312" w:eastAsia="仿宋_GB2312" w:hAnsi="宋体" w:hint="eastAsia"/>
          <w:sz w:val="28"/>
          <w:szCs w:val="28"/>
        </w:rPr>
        <w:t>销售单价</w:t>
      </w:r>
      <w:r w:rsidR="007C60F0" w:rsidRPr="007C60F0">
        <w:rPr>
          <w:rFonts w:ascii="仿宋_GB2312" w:eastAsia="仿宋_GB2312" w:hAnsi="宋体" w:hint="eastAsia"/>
          <w:sz w:val="28"/>
          <w:szCs w:val="28"/>
        </w:rPr>
        <w:t>为提货价，甲方提供对应的</w:t>
      </w:r>
      <w:r w:rsidRPr="007C60F0">
        <w:rPr>
          <w:rFonts w:ascii="仿宋_GB2312" w:eastAsia="仿宋_GB2312" w:hAnsi="宋体" w:hint="eastAsia"/>
          <w:sz w:val="28"/>
          <w:szCs w:val="28"/>
        </w:rPr>
        <w:t>增值税专用发票，</w:t>
      </w:r>
      <w:r w:rsidR="007C60F0" w:rsidRPr="007C60F0">
        <w:rPr>
          <w:rFonts w:ascii="仿宋_GB2312" w:eastAsia="仿宋_GB2312" w:hAnsi="宋体" w:hint="eastAsia"/>
          <w:sz w:val="28"/>
          <w:szCs w:val="28"/>
        </w:rPr>
        <w:t>标的物的</w:t>
      </w:r>
      <w:r w:rsidRPr="007C60F0">
        <w:rPr>
          <w:rFonts w:ascii="仿宋_GB2312" w:eastAsia="仿宋_GB2312" w:hAnsi="宋体" w:hint="eastAsia"/>
          <w:sz w:val="28"/>
          <w:szCs w:val="28"/>
        </w:rPr>
        <w:t>装卸</w:t>
      </w:r>
      <w:r w:rsidR="007C60F0" w:rsidRPr="007C60F0">
        <w:rPr>
          <w:rFonts w:ascii="仿宋_GB2312" w:eastAsia="仿宋_GB2312" w:hAnsi="宋体" w:hint="eastAsia"/>
          <w:sz w:val="28"/>
          <w:szCs w:val="28"/>
        </w:rPr>
        <w:t>、运输等</w:t>
      </w:r>
      <w:r w:rsidRPr="007C60F0">
        <w:rPr>
          <w:rFonts w:ascii="仿宋_GB2312" w:eastAsia="仿宋_GB2312" w:hAnsi="宋体" w:hint="eastAsia"/>
          <w:sz w:val="28"/>
          <w:szCs w:val="28"/>
        </w:rPr>
        <w:t>由需方自行负责。</w:t>
      </w:r>
      <w:r w:rsidRPr="00D13779">
        <w:rPr>
          <w:rFonts w:ascii="仿宋_GB2312" w:eastAsia="仿宋_GB2312" w:hAnsi="宋体" w:hint="eastAsia"/>
          <w:sz w:val="28"/>
          <w:szCs w:val="28"/>
        </w:rPr>
        <w:t>因供方生产方式的不确定性，每批次竞价结果成交量为预估值，具体</w:t>
      </w:r>
      <w:r w:rsidRPr="00D13779">
        <w:rPr>
          <w:rFonts w:ascii="仿宋_GB2312" w:eastAsia="仿宋_GB2312" w:hAnsi="宋体"/>
          <w:sz w:val="28"/>
          <w:szCs w:val="28"/>
        </w:rPr>
        <w:t>数量以供方调度计划为准。</w:t>
      </w:r>
    </w:p>
    <w:p w:rsidR="007F0EB0" w:rsidRPr="00A53766" w:rsidRDefault="00C84DC5" w:rsidP="00A53766">
      <w:pPr>
        <w:adjustRightInd w:val="0"/>
        <w:snapToGrid w:val="0"/>
        <w:spacing w:line="520" w:lineRule="exact"/>
        <w:ind w:firstLineChars="200" w:firstLine="560"/>
        <w:outlineLvl w:val="0"/>
        <w:rPr>
          <w:rFonts w:ascii="黑体" w:eastAsia="黑体" w:hAnsi="黑体"/>
          <w:sz w:val="28"/>
          <w:szCs w:val="28"/>
        </w:rPr>
      </w:pPr>
      <w:bookmarkStart w:id="2" w:name="_Toc155966899"/>
      <w:r w:rsidRPr="00A53766">
        <w:rPr>
          <w:rFonts w:ascii="黑体" w:eastAsia="黑体" w:hAnsi="黑体" w:hint="eastAsia"/>
          <w:sz w:val="28"/>
          <w:szCs w:val="28"/>
        </w:rPr>
        <w:t>二、货品的质量和提货的安全环保事项</w:t>
      </w:r>
      <w:bookmarkEnd w:id="2"/>
    </w:p>
    <w:p w:rsidR="007F0EB0" w:rsidRPr="00C84DC5" w:rsidRDefault="00A53766"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sz w:val="28"/>
          <w:szCs w:val="28"/>
        </w:rPr>
        <w:t>1.</w:t>
      </w:r>
      <w:r w:rsidR="00C84DC5" w:rsidRPr="00C84DC5">
        <w:rPr>
          <w:rFonts w:ascii="仿宋_GB2312" w:eastAsia="仿宋_GB2312" w:hAnsi="宋体" w:hint="eastAsia"/>
          <w:sz w:val="28"/>
          <w:szCs w:val="28"/>
        </w:rPr>
        <w:t>供方已详细向需方介绍</w:t>
      </w:r>
      <w:proofErr w:type="gramStart"/>
      <w:r w:rsidR="00C84DC5" w:rsidRPr="00C84DC5">
        <w:rPr>
          <w:rFonts w:ascii="仿宋_GB2312" w:eastAsia="仿宋_GB2312" w:hAnsi="宋体" w:hint="eastAsia"/>
          <w:sz w:val="28"/>
          <w:szCs w:val="28"/>
        </w:rPr>
        <w:t>电厂排取粉煤灰</w:t>
      </w:r>
      <w:proofErr w:type="gramEnd"/>
      <w:r w:rsidR="00C84DC5" w:rsidRPr="00C84DC5">
        <w:rPr>
          <w:rFonts w:ascii="仿宋_GB2312" w:eastAsia="仿宋_GB2312" w:hAnsi="宋体" w:hint="eastAsia"/>
          <w:sz w:val="28"/>
          <w:szCs w:val="28"/>
        </w:rPr>
        <w:t>、炉渣、脱硫石膏的生产情况。</w:t>
      </w:r>
    </w:p>
    <w:p w:rsidR="007F0EB0" w:rsidRPr="00C84DC5" w:rsidRDefault="00A53766"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sz w:val="28"/>
          <w:szCs w:val="28"/>
        </w:rPr>
        <w:t>2.</w:t>
      </w:r>
      <w:r w:rsidR="00C84DC5" w:rsidRPr="00C84DC5">
        <w:rPr>
          <w:rFonts w:ascii="仿宋_GB2312" w:eastAsia="仿宋_GB2312" w:hAnsi="宋体" w:hint="eastAsia"/>
          <w:sz w:val="28"/>
          <w:szCs w:val="28"/>
        </w:rPr>
        <w:t>在参与竞价前，需方需到供方生产现场详细了解供方提供的货品的技术指标，自行验证（可自行取样化验分析）质量并确定其用途。</w:t>
      </w:r>
    </w:p>
    <w:p w:rsidR="007F0EB0" w:rsidRDefault="00A53766"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sz w:val="28"/>
          <w:szCs w:val="28"/>
        </w:rPr>
        <w:t>3.</w:t>
      </w:r>
      <w:r w:rsidR="00C84DC5" w:rsidRPr="00C84DC5">
        <w:rPr>
          <w:rFonts w:ascii="仿宋_GB2312" w:eastAsia="仿宋_GB2312" w:hAnsi="宋体" w:hint="eastAsia"/>
          <w:sz w:val="28"/>
          <w:szCs w:val="28"/>
        </w:rPr>
        <w:t>供方协助需方进入电厂和现场提货的安全生产措施及安全注意事项，双方签署《外包工程安全文明生产管理协议》后允许需</w:t>
      </w:r>
      <w:r w:rsidR="00C84DC5">
        <w:rPr>
          <w:rFonts w:ascii="仿宋_GB2312" w:eastAsia="仿宋_GB2312" w:hAnsi="宋体" w:hint="eastAsia"/>
          <w:sz w:val="28"/>
          <w:szCs w:val="28"/>
        </w:rPr>
        <w:t>方进入生产现场，需方应遵守《外包工程安全文明生产管理协议》的规定、遵守供方的安全生产规章制度并承担安全责任。</w:t>
      </w:r>
    </w:p>
    <w:p w:rsidR="007F0EB0" w:rsidRDefault="00A53766"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sz w:val="28"/>
          <w:szCs w:val="28"/>
        </w:rPr>
        <w:lastRenderedPageBreak/>
        <w:t>4.</w:t>
      </w:r>
      <w:r w:rsidR="00C84DC5">
        <w:rPr>
          <w:rFonts w:ascii="仿宋_GB2312" w:eastAsia="仿宋_GB2312" w:hAnsi="宋体" w:hint="eastAsia"/>
          <w:sz w:val="28"/>
          <w:szCs w:val="28"/>
        </w:rPr>
        <w:t>需方人员和车辆进入厂区必须遵守供方的有关规定和要求，并服从供方管理人员的调度和管理，否则造成供方的各类损失及生产的各种后果，均由需方负责按价向供方进行赔偿，并承担由此造成的各类责任。</w:t>
      </w:r>
    </w:p>
    <w:p w:rsidR="007F0EB0" w:rsidRDefault="00A53766"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sz w:val="28"/>
          <w:szCs w:val="28"/>
        </w:rPr>
        <w:t>5.</w:t>
      </w:r>
      <w:r w:rsidR="00C84DC5">
        <w:rPr>
          <w:rFonts w:ascii="仿宋_GB2312" w:eastAsia="仿宋_GB2312" w:hAnsi="宋体" w:hint="eastAsia"/>
          <w:sz w:val="28"/>
          <w:szCs w:val="28"/>
        </w:rPr>
        <w:t>需方收集、贮存、运输、利用、处置生产附属品的全过程中，应严格按照相关环保法规要求采取防治工业固体废物污染环境的措施，满足《固体废物污染环境防治法》相关要求，发生环境违法责任由需方承担。</w:t>
      </w:r>
    </w:p>
    <w:p w:rsidR="007F0EB0" w:rsidRPr="00A53766" w:rsidRDefault="00C84DC5" w:rsidP="00A53766">
      <w:pPr>
        <w:adjustRightInd w:val="0"/>
        <w:snapToGrid w:val="0"/>
        <w:spacing w:line="520" w:lineRule="exact"/>
        <w:ind w:firstLineChars="200" w:firstLine="560"/>
        <w:outlineLvl w:val="0"/>
        <w:rPr>
          <w:rFonts w:ascii="黑体" w:eastAsia="黑体" w:hAnsi="黑体"/>
          <w:sz w:val="28"/>
          <w:szCs w:val="28"/>
        </w:rPr>
      </w:pPr>
      <w:bookmarkStart w:id="3" w:name="_Toc155966900"/>
      <w:r w:rsidRPr="00A53766">
        <w:rPr>
          <w:rFonts w:ascii="黑体" w:eastAsia="黑体" w:hAnsi="黑体" w:hint="eastAsia"/>
          <w:sz w:val="28"/>
          <w:szCs w:val="28"/>
        </w:rPr>
        <w:t>三、结算方式：</w:t>
      </w:r>
      <w:bookmarkEnd w:id="3"/>
    </w:p>
    <w:p w:rsidR="007F0EB0" w:rsidRDefault="00A53766" w:rsidP="00A53766">
      <w:pPr>
        <w:adjustRightInd w:val="0"/>
        <w:snapToGrid w:val="0"/>
        <w:spacing w:line="520" w:lineRule="exact"/>
        <w:ind w:firstLineChars="200" w:firstLine="560"/>
        <w:rPr>
          <w:rFonts w:ascii="仿宋_GB2312" w:eastAsia="仿宋_GB2312" w:hAnsi="宋体"/>
          <w:b/>
          <w:sz w:val="28"/>
          <w:szCs w:val="28"/>
        </w:rPr>
      </w:pPr>
      <w:r>
        <w:rPr>
          <w:rFonts w:ascii="仿宋_GB2312" w:eastAsia="仿宋_GB2312" w:hAnsi="宋体"/>
          <w:sz w:val="28"/>
          <w:szCs w:val="28"/>
        </w:rPr>
        <w:t>1.</w:t>
      </w:r>
      <w:r w:rsidR="00C84DC5">
        <w:rPr>
          <w:rFonts w:ascii="仿宋_GB2312" w:eastAsia="仿宋_GB2312" w:hAnsi="宋体" w:hint="eastAsia"/>
          <w:sz w:val="28"/>
          <w:szCs w:val="28"/>
        </w:rPr>
        <w:t>本协议按月结算，单价由实际发生交易当月供方市场变化确定，</w:t>
      </w:r>
      <w:r w:rsidR="00C84DC5">
        <w:rPr>
          <w:rFonts w:ascii="仿宋_GB2312" w:eastAsia="仿宋_GB2312" w:hAnsi="宋体" w:hint="eastAsia"/>
          <w:b/>
          <w:sz w:val="28"/>
          <w:szCs w:val="28"/>
        </w:rPr>
        <w:t>结算金额以当月的交割清单为准。</w:t>
      </w:r>
    </w:p>
    <w:p w:rsidR="007F0EB0" w:rsidRDefault="00A53766"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sz w:val="28"/>
          <w:szCs w:val="28"/>
        </w:rPr>
        <w:t>2.</w:t>
      </w:r>
      <w:r w:rsidR="00C84DC5">
        <w:rPr>
          <w:rFonts w:ascii="仿宋_GB2312" w:eastAsia="仿宋_GB2312" w:hAnsi="宋体" w:hint="eastAsia"/>
          <w:sz w:val="28"/>
          <w:szCs w:val="28"/>
        </w:rPr>
        <w:t>本协议计价货币为人民币。付款方式为银行转账。</w:t>
      </w:r>
    </w:p>
    <w:p w:rsidR="007F0EB0" w:rsidRDefault="00A53766" w:rsidP="00A53766">
      <w:pPr>
        <w:adjustRightInd w:val="0"/>
        <w:snapToGrid w:val="0"/>
        <w:spacing w:line="520" w:lineRule="exact"/>
        <w:ind w:firstLineChars="200" w:firstLine="560"/>
        <w:jc w:val="left"/>
        <w:rPr>
          <w:rFonts w:ascii="仿宋_GB2312" w:eastAsia="仿宋_GB2312" w:hAnsi="宋体" w:cs="宋体"/>
          <w:sz w:val="28"/>
          <w:szCs w:val="28"/>
        </w:rPr>
      </w:pPr>
      <w:r>
        <w:rPr>
          <w:rFonts w:ascii="仿宋_GB2312" w:eastAsia="仿宋_GB2312" w:hAnsi="宋体"/>
          <w:sz w:val="28"/>
          <w:szCs w:val="28"/>
        </w:rPr>
        <w:t>3.</w:t>
      </w:r>
      <w:r w:rsidR="00C84DC5">
        <w:rPr>
          <w:rFonts w:ascii="仿宋_GB2312" w:eastAsia="仿宋_GB2312" w:hAnsi="宋体" w:hint="eastAsia"/>
          <w:sz w:val="28"/>
          <w:szCs w:val="28"/>
        </w:rPr>
        <w:t>货款采取预收款方式管理。</w:t>
      </w:r>
      <w:r w:rsidR="00C84DC5">
        <w:rPr>
          <w:rFonts w:ascii="仿宋_GB2312" w:eastAsia="仿宋_GB2312" w:hAnsi="宋体" w:cs="宋体" w:hint="eastAsia"/>
          <w:sz w:val="28"/>
          <w:szCs w:val="28"/>
        </w:rPr>
        <w:t>需方将货款存入供方</w:t>
      </w:r>
      <w:proofErr w:type="gramStart"/>
      <w:r w:rsidR="00C84DC5">
        <w:rPr>
          <w:rFonts w:ascii="仿宋_GB2312" w:eastAsia="仿宋_GB2312" w:hAnsi="宋体" w:cs="宋体" w:hint="eastAsia"/>
          <w:sz w:val="28"/>
          <w:szCs w:val="28"/>
        </w:rPr>
        <w:t>帐号</w:t>
      </w:r>
      <w:proofErr w:type="gramEnd"/>
      <w:r w:rsidR="00C84DC5">
        <w:rPr>
          <w:rFonts w:ascii="仿宋_GB2312" w:eastAsia="仿宋_GB2312" w:hAnsi="宋体" w:cs="宋体" w:hint="eastAsia"/>
          <w:sz w:val="28"/>
          <w:szCs w:val="28"/>
        </w:rPr>
        <w:t>后发货，</w:t>
      </w:r>
      <w:proofErr w:type="gramStart"/>
      <w:r w:rsidR="00C84DC5">
        <w:rPr>
          <w:rFonts w:ascii="仿宋_GB2312" w:eastAsia="仿宋_GB2312" w:hAnsi="宋体" w:cs="宋体" w:hint="eastAsia"/>
          <w:sz w:val="28"/>
          <w:szCs w:val="28"/>
        </w:rPr>
        <w:t>款完停发</w:t>
      </w:r>
      <w:proofErr w:type="gramEnd"/>
      <w:r w:rsidR="00C84DC5">
        <w:rPr>
          <w:rFonts w:ascii="仿宋_GB2312" w:eastAsia="仿宋_GB2312" w:hAnsi="宋体" w:cs="宋体" w:hint="eastAsia"/>
          <w:sz w:val="28"/>
          <w:szCs w:val="28"/>
        </w:rPr>
        <w:t>。</w:t>
      </w:r>
    </w:p>
    <w:p w:rsidR="007F0EB0" w:rsidRPr="00A53766" w:rsidRDefault="00C84DC5" w:rsidP="00A53766">
      <w:pPr>
        <w:adjustRightInd w:val="0"/>
        <w:snapToGrid w:val="0"/>
        <w:spacing w:line="520" w:lineRule="exact"/>
        <w:ind w:firstLineChars="200" w:firstLine="560"/>
        <w:outlineLvl w:val="0"/>
        <w:rPr>
          <w:rFonts w:ascii="黑体" w:eastAsia="黑体" w:hAnsi="黑体"/>
          <w:sz w:val="28"/>
          <w:szCs w:val="28"/>
        </w:rPr>
      </w:pPr>
      <w:bookmarkStart w:id="4" w:name="_Toc155966901"/>
      <w:r w:rsidRPr="00A53766">
        <w:rPr>
          <w:rFonts w:ascii="黑体" w:eastAsia="黑体" w:hAnsi="黑体" w:hint="eastAsia"/>
          <w:sz w:val="28"/>
          <w:szCs w:val="28"/>
        </w:rPr>
        <w:t>四、包装、运输、储存方式及交货地点</w:t>
      </w:r>
      <w:bookmarkEnd w:id="4"/>
    </w:p>
    <w:p w:rsidR="007F0EB0" w:rsidRDefault="00C84DC5"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均由需方自行负责采用专用车</w:t>
      </w:r>
      <w:r w:rsidRPr="00C84DC5">
        <w:rPr>
          <w:rFonts w:ascii="仿宋_GB2312" w:eastAsia="仿宋_GB2312" w:hAnsi="宋体" w:hint="eastAsia"/>
          <w:sz w:val="28"/>
          <w:szCs w:val="28"/>
        </w:rPr>
        <w:t>辆按其</w:t>
      </w:r>
      <w:r w:rsidRPr="00C84DC5">
        <w:rPr>
          <w:rFonts w:ascii="仿宋_GB2312" w:eastAsia="仿宋_GB2312" w:hAnsi="宋体"/>
          <w:sz w:val="28"/>
          <w:szCs w:val="28"/>
        </w:rPr>
        <w:t>规定载重</w:t>
      </w:r>
      <w:r w:rsidRPr="00C84DC5">
        <w:rPr>
          <w:rFonts w:ascii="仿宋_GB2312" w:eastAsia="仿宋_GB2312" w:hAnsi="宋体" w:hint="eastAsia"/>
          <w:sz w:val="28"/>
          <w:szCs w:val="28"/>
        </w:rPr>
        <w:t>进</w:t>
      </w:r>
      <w:r>
        <w:rPr>
          <w:rFonts w:ascii="仿宋_GB2312" w:eastAsia="仿宋_GB2312" w:hAnsi="宋体" w:hint="eastAsia"/>
          <w:sz w:val="28"/>
          <w:szCs w:val="28"/>
        </w:rPr>
        <w:t>行运输。交货地点为电厂粉煤灰、炉渣、脱硫石膏排出口。需方自备车辆提货。</w:t>
      </w:r>
    </w:p>
    <w:p w:rsidR="007F0EB0" w:rsidRPr="00A53766" w:rsidRDefault="00C84DC5" w:rsidP="00A53766">
      <w:pPr>
        <w:adjustRightInd w:val="0"/>
        <w:snapToGrid w:val="0"/>
        <w:spacing w:line="520" w:lineRule="exact"/>
        <w:ind w:firstLineChars="200" w:firstLine="560"/>
        <w:outlineLvl w:val="0"/>
        <w:rPr>
          <w:rFonts w:ascii="黑体" w:eastAsia="黑体" w:hAnsi="黑体"/>
          <w:sz w:val="28"/>
          <w:szCs w:val="28"/>
        </w:rPr>
      </w:pPr>
      <w:bookmarkStart w:id="5" w:name="_Toc155966902"/>
      <w:r w:rsidRPr="00A53766">
        <w:rPr>
          <w:rFonts w:ascii="黑体" w:eastAsia="黑体" w:hAnsi="黑体" w:hint="eastAsia"/>
          <w:sz w:val="28"/>
          <w:szCs w:val="28"/>
        </w:rPr>
        <w:t>五、计量方式</w:t>
      </w:r>
      <w:bookmarkEnd w:id="5"/>
    </w:p>
    <w:p w:rsidR="007F0EB0" w:rsidRDefault="00C84DC5"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以供方出厂过磅计量（并提供计量单）为准。</w:t>
      </w:r>
    </w:p>
    <w:p w:rsidR="007F0EB0" w:rsidRPr="00A53766" w:rsidRDefault="00C84DC5" w:rsidP="00A53766">
      <w:pPr>
        <w:adjustRightInd w:val="0"/>
        <w:snapToGrid w:val="0"/>
        <w:spacing w:line="520" w:lineRule="exact"/>
        <w:ind w:firstLineChars="200" w:firstLine="560"/>
        <w:outlineLvl w:val="0"/>
        <w:rPr>
          <w:rFonts w:ascii="黑体" w:eastAsia="黑体" w:hAnsi="黑体"/>
          <w:sz w:val="28"/>
          <w:szCs w:val="28"/>
        </w:rPr>
      </w:pPr>
      <w:bookmarkStart w:id="6" w:name="_Toc155966903"/>
      <w:r w:rsidRPr="00A53766">
        <w:rPr>
          <w:rFonts w:ascii="黑体" w:eastAsia="黑体" w:hAnsi="黑体" w:hint="eastAsia"/>
          <w:sz w:val="28"/>
          <w:szCs w:val="28"/>
        </w:rPr>
        <w:t>六、协议期限</w:t>
      </w:r>
      <w:bookmarkEnd w:id="6"/>
    </w:p>
    <w:p w:rsidR="007F0EB0" w:rsidRDefault="00C84DC5"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协议期限为：自协议签订之日起至202</w:t>
      </w:r>
      <w:r w:rsidR="00651DFB">
        <w:rPr>
          <w:rFonts w:ascii="仿宋_GB2312" w:eastAsia="仿宋_GB2312" w:hAnsi="宋体" w:hint="eastAsia"/>
          <w:sz w:val="28"/>
          <w:szCs w:val="28"/>
        </w:rPr>
        <w:t>×</w:t>
      </w:r>
      <w:r>
        <w:rPr>
          <w:rFonts w:ascii="仿宋_GB2312" w:eastAsia="仿宋_GB2312" w:hAnsi="宋体" w:hint="eastAsia"/>
          <w:sz w:val="28"/>
          <w:szCs w:val="28"/>
        </w:rPr>
        <w:t>年12月31日，以供方实际调度计划安排为准。</w:t>
      </w:r>
    </w:p>
    <w:p w:rsidR="007F0EB0" w:rsidRPr="00A53766" w:rsidRDefault="00C84DC5" w:rsidP="00A53766">
      <w:pPr>
        <w:adjustRightInd w:val="0"/>
        <w:snapToGrid w:val="0"/>
        <w:spacing w:line="520" w:lineRule="exact"/>
        <w:ind w:firstLineChars="200" w:firstLine="560"/>
        <w:outlineLvl w:val="0"/>
        <w:rPr>
          <w:rFonts w:ascii="黑体" w:eastAsia="黑体" w:hAnsi="黑体"/>
          <w:sz w:val="28"/>
          <w:szCs w:val="28"/>
        </w:rPr>
      </w:pPr>
      <w:bookmarkStart w:id="7" w:name="_Toc155966904"/>
      <w:r w:rsidRPr="00A53766">
        <w:rPr>
          <w:rFonts w:ascii="黑体" w:eastAsia="黑体" w:hAnsi="黑体" w:hint="eastAsia"/>
          <w:sz w:val="28"/>
          <w:szCs w:val="28"/>
        </w:rPr>
        <w:t>七、违约责任</w:t>
      </w:r>
      <w:bookmarkEnd w:id="7"/>
    </w:p>
    <w:p w:rsidR="007F0EB0" w:rsidRDefault="00C84DC5"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hint="eastAsia"/>
          <w:sz w:val="28"/>
          <w:szCs w:val="28"/>
        </w:rPr>
        <w:t>为确保供方实现生产附属品“零排放”要求，确保电厂安全生产，供方将根据协议确定的供货量比例，结合生产附属品的日生产量，按日编制生产附属品调度计划，需方必须按该调度计划于当天运完相应的生产附属品，否则，供方将按照下列规定追究需方违约责任：</w:t>
      </w:r>
    </w:p>
    <w:p w:rsidR="007F0EB0" w:rsidRPr="00C84DC5" w:rsidRDefault="00A53766"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sz w:val="28"/>
          <w:szCs w:val="28"/>
        </w:rPr>
        <w:t>1.</w:t>
      </w:r>
      <w:r w:rsidR="00C84DC5">
        <w:rPr>
          <w:rFonts w:ascii="仿宋_GB2312" w:eastAsia="仿宋_GB2312" w:hAnsi="宋体" w:hint="eastAsia"/>
          <w:sz w:val="28"/>
          <w:szCs w:val="28"/>
        </w:rPr>
        <w:t>粉煤灰、石膏竞价结果分配量按月控制进度，炉渣竞价结果分配</w:t>
      </w:r>
      <w:r w:rsidR="00C84DC5">
        <w:rPr>
          <w:rFonts w:ascii="仿宋_GB2312" w:eastAsia="仿宋_GB2312" w:hAnsi="宋体" w:hint="eastAsia"/>
          <w:sz w:val="28"/>
          <w:szCs w:val="28"/>
        </w:rPr>
        <w:lastRenderedPageBreak/>
        <w:t>量按季度控制进度。</w:t>
      </w:r>
      <w:r w:rsidR="00C84DC5" w:rsidRPr="00C84DC5">
        <w:rPr>
          <w:rFonts w:ascii="仿宋_GB2312" w:eastAsia="仿宋_GB2312" w:hAnsi="宋体" w:hint="eastAsia"/>
          <w:sz w:val="28"/>
          <w:szCs w:val="28"/>
        </w:rPr>
        <w:t>经销商每个竞价周期竞价计划完成率（完成量除以其分配量与该周期实际产生量除以预估量的比值）应不小于80%。各经销商接到供方电话</w:t>
      </w:r>
      <w:proofErr w:type="gramStart"/>
      <w:r w:rsidR="00C84DC5" w:rsidRPr="00C84DC5">
        <w:rPr>
          <w:rFonts w:ascii="仿宋_GB2312" w:eastAsia="仿宋_GB2312" w:hAnsi="宋体" w:hint="eastAsia"/>
          <w:sz w:val="28"/>
          <w:szCs w:val="28"/>
        </w:rPr>
        <w:t>或微信通知</w:t>
      </w:r>
      <w:proofErr w:type="gramEnd"/>
      <w:r w:rsidR="00C84DC5" w:rsidRPr="00C84DC5">
        <w:rPr>
          <w:rFonts w:ascii="仿宋_GB2312" w:eastAsia="仿宋_GB2312" w:hAnsi="宋体" w:hint="eastAsia"/>
          <w:sz w:val="28"/>
          <w:szCs w:val="28"/>
        </w:rPr>
        <w:t>仍拒不执行计划的，视情节严重程度考核500-1000元/次。因经销商未完成计划影响供方生产安全，供方有权联系其他经销商提货，由此产生的差额在未完成经销商履约保证金中扣除；产生的附属品量单独计算，不纳入提货经销商本轮竞价周期内分配量统计，在未完成进度的经销商分配量中予以扣除。如供方认定经销商不服从调配、在应急状态下不积极参与等情况，停止其参与竞价1次。因不可抗拒因素导致计划未完成的，经销商应来函说明情况，经供方认定后，可不予处理。</w:t>
      </w:r>
    </w:p>
    <w:p w:rsidR="007F0EB0" w:rsidRPr="00C84DC5" w:rsidRDefault="00A53766"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sz w:val="28"/>
          <w:szCs w:val="28"/>
        </w:rPr>
        <w:t>2.</w:t>
      </w:r>
      <w:r w:rsidR="00C84DC5" w:rsidRPr="00C84DC5">
        <w:rPr>
          <w:rFonts w:ascii="仿宋_GB2312" w:eastAsia="仿宋_GB2312" w:hAnsi="宋体" w:hint="eastAsia"/>
          <w:sz w:val="28"/>
          <w:szCs w:val="28"/>
        </w:rPr>
        <w:t>经销商如出现以下情况之一，则视为不合格经销商，解除销售合同，两年内取消生产附属品经销商资格。</w:t>
      </w:r>
    </w:p>
    <w:p w:rsidR="007F0EB0" w:rsidRPr="00C84DC5" w:rsidRDefault="00C84DC5" w:rsidP="00A53766">
      <w:pPr>
        <w:adjustRightInd w:val="0"/>
        <w:snapToGrid w:val="0"/>
        <w:spacing w:line="520" w:lineRule="exact"/>
        <w:ind w:firstLineChars="200" w:firstLine="560"/>
        <w:rPr>
          <w:rFonts w:ascii="仿宋_GB2312" w:eastAsia="仿宋_GB2312" w:hAnsi="宋体"/>
          <w:sz w:val="28"/>
          <w:szCs w:val="28"/>
        </w:rPr>
      </w:pPr>
      <w:r w:rsidRPr="00C84DC5">
        <w:rPr>
          <w:rFonts w:ascii="仿宋_GB2312" w:eastAsia="仿宋_GB2312" w:hAnsi="宋体" w:hint="eastAsia"/>
          <w:sz w:val="28"/>
          <w:szCs w:val="28"/>
        </w:rPr>
        <w:t>（</w:t>
      </w:r>
      <w:r w:rsidRPr="00C84DC5">
        <w:rPr>
          <w:rFonts w:ascii="仿宋_GB2312" w:eastAsia="仿宋_GB2312" w:hAnsi="宋体"/>
          <w:sz w:val="28"/>
          <w:szCs w:val="28"/>
        </w:rPr>
        <w:t>1</w:t>
      </w:r>
      <w:r w:rsidRPr="00C84DC5">
        <w:rPr>
          <w:rFonts w:ascii="仿宋_GB2312" w:eastAsia="仿宋_GB2312" w:hAnsi="宋体" w:hint="eastAsia"/>
          <w:sz w:val="28"/>
          <w:szCs w:val="28"/>
        </w:rPr>
        <w:t>）经销商原因，粉煤灰和石膏C级经销商全年发生3次、炉渣C级经销商全年发生1次分配量完成率低于50%的。因不可抗拒因素导致计划未完成的，经销商应来函说明情况，经电厂认定后，可不予处理。</w:t>
      </w:r>
    </w:p>
    <w:p w:rsidR="007F0EB0" w:rsidRPr="00C84DC5" w:rsidRDefault="00C84DC5" w:rsidP="00A53766">
      <w:pPr>
        <w:adjustRightInd w:val="0"/>
        <w:snapToGrid w:val="0"/>
        <w:spacing w:line="520" w:lineRule="exact"/>
        <w:ind w:firstLineChars="200" w:firstLine="560"/>
        <w:rPr>
          <w:rFonts w:ascii="仿宋_GB2312" w:eastAsia="仿宋_GB2312" w:hAnsi="宋体"/>
          <w:sz w:val="28"/>
          <w:szCs w:val="28"/>
        </w:rPr>
      </w:pPr>
      <w:r w:rsidRPr="00C84DC5">
        <w:rPr>
          <w:rFonts w:ascii="仿宋_GB2312" w:eastAsia="仿宋_GB2312" w:hAnsi="宋体" w:hint="eastAsia"/>
          <w:sz w:val="28"/>
          <w:szCs w:val="28"/>
        </w:rPr>
        <w:t>（</w:t>
      </w:r>
      <w:r w:rsidRPr="00C84DC5">
        <w:rPr>
          <w:rFonts w:ascii="仿宋_GB2312" w:eastAsia="仿宋_GB2312" w:hAnsi="宋体"/>
          <w:sz w:val="28"/>
          <w:szCs w:val="28"/>
        </w:rPr>
        <w:t>2</w:t>
      </w:r>
      <w:r w:rsidRPr="00C84DC5">
        <w:rPr>
          <w:rFonts w:ascii="仿宋_GB2312" w:eastAsia="仿宋_GB2312" w:hAnsi="宋体" w:hint="eastAsia"/>
          <w:sz w:val="28"/>
          <w:szCs w:val="28"/>
        </w:rPr>
        <w:t>）经销商原因，2年及以上未参与竞价的。</w:t>
      </w:r>
    </w:p>
    <w:p w:rsidR="007F0EB0" w:rsidRPr="00C84DC5" w:rsidRDefault="00C84DC5" w:rsidP="00A53766">
      <w:pPr>
        <w:adjustRightInd w:val="0"/>
        <w:snapToGrid w:val="0"/>
        <w:spacing w:line="520" w:lineRule="exact"/>
        <w:ind w:firstLineChars="200" w:firstLine="560"/>
        <w:rPr>
          <w:rFonts w:ascii="仿宋_GB2312" w:eastAsia="仿宋_GB2312" w:hAnsi="宋体"/>
          <w:sz w:val="28"/>
          <w:szCs w:val="28"/>
        </w:rPr>
      </w:pPr>
      <w:r w:rsidRPr="00C84DC5">
        <w:rPr>
          <w:rFonts w:ascii="仿宋_GB2312" w:eastAsia="仿宋_GB2312" w:hAnsi="宋体" w:hint="eastAsia"/>
          <w:sz w:val="28"/>
          <w:szCs w:val="28"/>
        </w:rPr>
        <w:t>（</w:t>
      </w:r>
      <w:r w:rsidRPr="00C84DC5">
        <w:rPr>
          <w:rFonts w:ascii="仿宋_GB2312" w:eastAsia="仿宋_GB2312" w:hAnsi="宋体"/>
          <w:sz w:val="28"/>
          <w:szCs w:val="28"/>
        </w:rPr>
        <w:t>3</w:t>
      </w:r>
      <w:r w:rsidRPr="00C84DC5">
        <w:rPr>
          <w:rFonts w:ascii="仿宋_GB2312" w:eastAsia="仿宋_GB2312" w:hAnsi="宋体" w:hint="eastAsia"/>
          <w:sz w:val="28"/>
          <w:szCs w:val="28"/>
        </w:rPr>
        <w:t>）经电厂认定的其他情况，如：竞价时恶意竞争、严重不服从调配、在应急状态下不参与、不再具备合格经销商基本条件等。</w:t>
      </w:r>
    </w:p>
    <w:p w:rsidR="007F0EB0" w:rsidRPr="00C84DC5" w:rsidRDefault="00A53766"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sz w:val="28"/>
          <w:szCs w:val="28"/>
        </w:rPr>
        <w:t>3.</w:t>
      </w:r>
      <w:r w:rsidR="00C84DC5" w:rsidRPr="00C84DC5">
        <w:rPr>
          <w:rFonts w:ascii="仿宋_GB2312" w:eastAsia="仿宋_GB2312" w:hAnsi="宋体" w:hint="eastAsia"/>
          <w:sz w:val="28"/>
          <w:szCs w:val="28"/>
        </w:rPr>
        <w:t>A、B级经销商因自身原因分配量完成率低于50%的，每发生1次降低该经销商等级1级，C级经销商按照第1、2条进行处理。</w:t>
      </w:r>
    </w:p>
    <w:p w:rsidR="007F0EB0" w:rsidRPr="00A53766" w:rsidRDefault="00C84DC5" w:rsidP="00A53766">
      <w:pPr>
        <w:adjustRightInd w:val="0"/>
        <w:snapToGrid w:val="0"/>
        <w:spacing w:line="520" w:lineRule="exact"/>
        <w:ind w:firstLineChars="200" w:firstLine="560"/>
        <w:outlineLvl w:val="0"/>
        <w:rPr>
          <w:rFonts w:ascii="黑体" w:eastAsia="黑体" w:hAnsi="黑体"/>
          <w:sz w:val="28"/>
          <w:szCs w:val="28"/>
        </w:rPr>
      </w:pPr>
      <w:bookmarkStart w:id="8" w:name="_Toc155966905"/>
      <w:r w:rsidRPr="00A53766">
        <w:rPr>
          <w:rFonts w:ascii="黑体" w:eastAsia="黑体" w:hAnsi="黑体" w:hint="eastAsia"/>
          <w:sz w:val="28"/>
          <w:szCs w:val="28"/>
        </w:rPr>
        <w:t>八、纠纷的解决</w:t>
      </w:r>
      <w:bookmarkEnd w:id="8"/>
    </w:p>
    <w:p w:rsidR="007F0EB0" w:rsidRPr="00C84DC5" w:rsidRDefault="00C84DC5" w:rsidP="00A53766">
      <w:pPr>
        <w:adjustRightInd w:val="0"/>
        <w:snapToGrid w:val="0"/>
        <w:spacing w:line="520" w:lineRule="exact"/>
        <w:ind w:firstLineChars="200" w:firstLine="560"/>
        <w:rPr>
          <w:rFonts w:ascii="仿宋_GB2312" w:eastAsia="仿宋_GB2312" w:hAnsi="宋体"/>
          <w:sz w:val="28"/>
          <w:szCs w:val="28"/>
        </w:rPr>
      </w:pPr>
      <w:r w:rsidRPr="00C84DC5">
        <w:rPr>
          <w:rFonts w:ascii="仿宋_GB2312" w:eastAsia="仿宋_GB2312" w:hAnsi="宋体" w:hint="eastAsia"/>
          <w:sz w:val="28"/>
          <w:szCs w:val="28"/>
        </w:rPr>
        <w:t>凡与本协议有关而引起的一切争议，双方应通过友好协商解决，如经协商后仍不能达成协议时，则提交供方所在地人民法院起诉解决。</w:t>
      </w:r>
    </w:p>
    <w:p w:rsidR="007F0EB0" w:rsidRPr="00A53766" w:rsidRDefault="00C84DC5" w:rsidP="00A53766">
      <w:pPr>
        <w:adjustRightInd w:val="0"/>
        <w:snapToGrid w:val="0"/>
        <w:spacing w:line="520" w:lineRule="exact"/>
        <w:ind w:firstLineChars="200" w:firstLine="560"/>
        <w:outlineLvl w:val="0"/>
        <w:rPr>
          <w:rFonts w:ascii="黑体" w:eastAsia="黑体" w:hAnsi="黑体"/>
          <w:sz w:val="28"/>
          <w:szCs w:val="28"/>
        </w:rPr>
      </w:pPr>
      <w:bookmarkStart w:id="9" w:name="_Toc155966906"/>
      <w:r w:rsidRPr="00A53766">
        <w:rPr>
          <w:rFonts w:ascii="黑体" w:eastAsia="黑体" w:hAnsi="黑体" w:hint="eastAsia"/>
          <w:sz w:val="28"/>
          <w:szCs w:val="28"/>
        </w:rPr>
        <w:t>九、其他约定</w:t>
      </w:r>
      <w:bookmarkEnd w:id="9"/>
    </w:p>
    <w:p w:rsidR="007F0EB0" w:rsidRPr="00C84DC5" w:rsidRDefault="00A53766"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sz w:val="28"/>
          <w:szCs w:val="28"/>
        </w:rPr>
        <w:t>1.</w:t>
      </w:r>
      <w:r w:rsidR="00C84DC5" w:rsidRPr="00C84DC5">
        <w:rPr>
          <w:rFonts w:ascii="仿宋_GB2312" w:eastAsia="仿宋_GB2312" w:hAnsi="宋体" w:hint="eastAsia"/>
          <w:sz w:val="28"/>
          <w:szCs w:val="28"/>
        </w:rPr>
        <w:t>需方于协议签订后10个工作日内，向供方提供履约保证金（粉煤灰壹拾万元、炉渣伍万元、脱硫石膏伍万元）（如本协议终止履行，按双</w:t>
      </w:r>
      <w:r w:rsidR="00C84DC5" w:rsidRPr="00C84DC5">
        <w:rPr>
          <w:rFonts w:ascii="仿宋_GB2312" w:eastAsia="仿宋_GB2312" w:hAnsi="宋体" w:hint="eastAsia"/>
          <w:sz w:val="28"/>
          <w:szCs w:val="28"/>
        </w:rPr>
        <w:lastRenderedPageBreak/>
        <w:t>方有关约定结清货款后，再由供方根据其履约情况退还需方全部或部分履约保证金）。</w:t>
      </w:r>
    </w:p>
    <w:p w:rsidR="007F0EB0" w:rsidRDefault="00A53766"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sz w:val="28"/>
          <w:szCs w:val="28"/>
        </w:rPr>
        <w:t>2.</w:t>
      </w:r>
      <w:r w:rsidR="00C84DC5" w:rsidRPr="00C84DC5">
        <w:rPr>
          <w:rFonts w:ascii="仿宋_GB2312" w:eastAsia="仿宋_GB2312" w:hAnsi="宋体" w:hint="eastAsia"/>
          <w:sz w:val="28"/>
          <w:szCs w:val="28"/>
        </w:rPr>
        <w:t>需方承担</w:t>
      </w:r>
      <w:proofErr w:type="gramStart"/>
      <w:r w:rsidR="00C84DC5" w:rsidRPr="00C84DC5">
        <w:rPr>
          <w:rFonts w:ascii="仿宋_GB2312" w:eastAsia="仿宋_GB2312" w:hAnsi="宋体" w:hint="eastAsia"/>
          <w:sz w:val="28"/>
          <w:szCs w:val="28"/>
        </w:rPr>
        <w:t>其收灰及</w:t>
      </w:r>
      <w:proofErr w:type="gramEnd"/>
      <w:r w:rsidR="00C84DC5" w:rsidRPr="00C84DC5">
        <w:rPr>
          <w:rFonts w:ascii="仿宋_GB2312" w:eastAsia="仿宋_GB2312" w:hAnsi="宋体" w:hint="eastAsia"/>
          <w:sz w:val="28"/>
          <w:szCs w:val="28"/>
        </w:rPr>
        <w:t>运输过程中司机及车辆的安全责任，电厂仅对需方在电厂内作业时进行安全监督，需方人员应严格按照电厂安全规章制度开展作业，如违反供方安全管理规定按照安全协议及供方其他安全管理规范进行处罚。</w:t>
      </w:r>
    </w:p>
    <w:p w:rsidR="007F0EB0" w:rsidRDefault="00A53766"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sz w:val="28"/>
          <w:szCs w:val="28"/>
        </w:rPr>
        <w:t>3.</w:t>
      </w:r>
      <w:r w:rsidR="00C84DC5">
        <w:rPr>
          <w:rFonts w:ascii="仿宋_GB2312" w:eastAsia="仿宋_GB2312" w:hAnsi="宋体" w:hint="eastAsia"/>
          <w:sz w:val="28"/>
          <w:szCs w:val="28"/>
        </w:rPr>
        <w:t>其他未尽事项，由双方协商，可另订补充协议，补充协议与本协议具有同等法律效力。</w:t>
      </w:r>
    </w:p>
    <w:p w:rsidR="007F0EB0" w:rsidRDefault="00A53766" w:rsidP="00A53766">
      <w:pPr>
        <w:adjustRightInd w:val="0"/>
        <w:snapToGrid w:val="0"/>
        <w:spacing w:line="520" w:lineRule="exact"/>
        <w:ind w:firstLineChars="200" w:firstLine="560"/>
        <w:rPr>
          <w:rFonts w:ascii="仿宋_GB2312" w:eastAsia="仿宋_GB2312" w:hAnsi="宋体"/>
          <w:sz w:val="28"/>
          <w:szCs w:val="28"/>
        </w:rPr>
      </w:pPr>
      <w:r>
        <w:rPr>
          <w:rFonts w:ascii="仿宋_GB2312" w:eastAsia="仿宋_GB2312" w:hAnsi="宋体"/>
          <w:sz w:val="28"/>
          <w:szCs w:val="28"/>
        </w:rPr>
        <w:t>4.</w:t>
      </w:r>
      <w:r w:rsidR="00C84DC5">
        <w:rPr>
          <w:rFonts w:ascii="仿宋_GB2312" w:eastAsia="仿宋_GB2312" w:hAnsi="宋体" w:hint="eastAsia"/>
          <w:sz w:val="28"/>
          <w:szCs w:val="28"/>
        </w:rPr>
        <w:t>本协议一式肆份，甲方执贰份，乙方执贰份。自双方当事人签字盖章，并提供履约保证金后生效。</w:t>
      </w:r>
    </w:p>
    <w:p w:rsidR="00CA0A10" w:rsidRDefault="00CA0A10" w:rsidP="00A53766">
      <w:pPr>
        <w:adjustRightInd w:val="0"/>
        <w:snapToGrid w:val="0"/>
        <w:spacing w:line="520" w:lineRule="exact"/>
        <w:ind w:firstLineChars="200" w:firstLine="560"/>
        <w:rPr>
          <w:rFonts w:ascii="仿宋_GB2312" w:eastAsia="仿宋_GB2312" w:hAnsi="宋体"/>
          <w:sz w:val="28"/>
          <w:szCs w:val="28"/>
        </w:rPr>
      </w:pPr>
    </w:p>
    <w:tbl>
      <w:tblPr>
        <w:tblW w:w="5000" w:type="pct"/>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4438"/>
        <w:gridCol w:w="4292"/>
      </w:tblGrid>
      <w:tr w:rsidR="007F0EB0">
        <w:trPr>
          <w:jc w:val="center"/>
        </w:trPr>
        <w:tc>
          <w:tcPr>
            <w:tcW w:w="2542" w:type="pct"/>
            <w:shd w:val="clear" w:color="auto" w:fill="auto"/>
            <w:vAlign w:val="center"/>
          </w:tcPr>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供方(盖章)：</w:t>
            </w:r>
          </w:p>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华能荆门热电有限责任公司</w:t>
            </w:r>
          </w:p>
        </w:tc>
        <w:tc>
          <w:tcPr>
            <w:tcW w:w="2458" w:type="pct"/>
            <w:shd w:val="clear" w:color="auto" w:fill="auto"/>
            <w:vAlign w:val="center"/>
          </w:tcPr>
          <w:p w:rsidR="007F0EB0" w:rsidRDefault="00C84DC5">
            <w:pPr>
              <w:widowControl/>
              <w:jc w:val="left"/>
              <w:rPr>
                <w:rFonts w:ascii="仿宋_GB2312" w:eastAsia="仿宋_GB2312" w:hAnsi="宋体"/>
                <w:kern w:val="0"/>
                <w:sz w:val="24"/>
                <w:szCs w:val="24"/>
              </w:rPr>
            </w:pPr>
            <w:r>
              <w:rPr>
                <w:rFonts w:ascii="仿宋_GB2312" w:eastAsia="仿宋_GB2312" w:hAnsi="宋体" w:hint="eastAsia"/>
                <w:sz w:val="24"/>
                <w:szCs w:val="24"/>
              </w:rPr>
              <w:t>需方</w:t>
            </w:r>
            <w:r>
              <w:rPr>
                <w:rFonts w:ascii="仿宋_GB2312" w:eastAsia="仿宋_GB2312" w:hAnsi="宋体" w:hint="eastAsia"/>
                <w:kern w:val="0"/>
                <w:sz w:val="24"/>
                <w:szCs w:val="24"/>
              </w:rPr>
              <w:t>(盖章)：</w:t>
            </w:r>
          </w:p>
          <w:p w:rsidR="007F0EB0" w:rsidRDefault="007F0EB0">
            <w:pPr>
              <w:widowControl/>
              <w:jc w:val="left"/>
              <w:rPr>
                <w:rFonts w:ascii="仿宋_GB2312" w:eastAsia="仿宋_GB2312" w:hAnsi="宋体"/>
                <w:kern w:val="0"/>
                <w:sz w:val="24"/>
                <w:szCs w:val="24"/>
              </w:rPr>
            </w:pPr>
          </w:p>
        </w:tc>
      </w:tr>
      <w:tr w:rsidR="007F0EB0">
        <w:trPr>
          <w:trHeight w:val="1139"/>
          <w:jc w:val="center"/>
        </w:trPr>
        <w:tc>
          <w:tcPr>
            <w:tcW w:w="2542" w:type="pct"/>
            <w:shd w:val="clear" w:color="auto" w:fill="auto"/>
            <w:vAlign w:val="center"/>
          </w:tcPr>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法人代表或</w:t>
            </w:r>
          </w:p>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委托代理人（签字）：</w:t>
            </w:r>
          </w:p>
        </w:tc>
        <w:tc>
          <w:tcPr>
            <w:tcW w:w="2458" w:type="pct"/>
            <w:shd w:val="clear" w:color="auto" w:fill="auto"/>
            <w:vAlign w:val="center"/>
          </w:tcPr>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法人代表或</w:t>
            </w:r>
          </w:p>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委托代理人（签字）：</w:t>
            </w:r>
          </w:p>
        </w:tc>
      </w:tr>
      <w:tr w:rsidR="007F0EB0">
        <w:trPr>
          <w:jc w:val="center"/>
        </w:trPr>
        <w:tc>
          <w:tcPr>
            <w:tcW w:w="2542" w:type="pct"/>
            <w:shd w:val="clear" w:color="auto" w:fill="auto"/>
            <w:vAlign w:val="center"/>
          </w:tcPr>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地址：</w:t>
            </w:r>
          </w:p>
          <w:p w:rsidR="007F0EB0" w:rsidRDefault="00C84DC5">
            <w:pPr>
              <w:widowControl/>
              <w:jc w:val="left"/>
              <w:rPr>
                <w:rFonts w:ascii="仿宋_GB2312" w:eastAsia="仿宋_GB2312" w:hAnsi="宋体"/>
                <w:kern w:val="0"/>
                <w:sz w:val="24"/>
                <w:szCs w:val="24"/>
              </w:rPr>
            </w:pPr>
            <w:proofErr w:type="gramStart"/>
            <w:r>
              <w:rPr>
                <w:rFonts w:ascii="仿宋_GB2312" w:eastAsia="仿宋_GB2312" w:hAnsi="宋体" w:hint="eastAsia"/>
                <w:kern w:val="0"/>
                <w:sz w:val="24"/>
                <w:szCs w:val="24"/>
              </w:rPr>
              <w:t>荆</w:t>
            </w:r>
            <w:proofErr w:type="gramEnd"/>
            <w:r>
              <w:rPr>
                <w:rFonts w:ascii="仿宋_GB2312" w:eastAsia="仿宋_GB2312" w:hAnsi="宋体" w:hint="eastAsia"/>
                <w:kern w:val="0"/>
                <w:sz w:val="24"/>
                <w:szCs w:val="24"/>
              </w:rPr>
              <w:t>门市东宝区荆东大道99号</w:t>
            </w:r>
          </w:p>
        </w:tc>
        <w:tc>
          <w:tcPr>
            <w:tcW w:w="2458" w:type="pct"/>
            <w:shd w:val="clear" w:color="auto" w:fill="auto"/>
            <w:vAlign w:val="center"/>
          </w:tcPr>
          <w:p w:rsidR="007F0EB0" w:rsidRDefault="00C84DC5" w:rsidP="00D75995">
            <w:pPr>
              <w:widowControl/>
              <w:jc w:val="left"/>
              <w:rPr>
                <w:rFonts w:ascii="仿宋_GB2312" w:eastAsia="仿宋_GB2312" w:hAnsi="宋体"/>
                <w:kern w:val="0"/>
                <w:sz w:val="24"/>
                <w:szCs w:val="24"/>
              </w:rPr>
            </w:pPr>
            <w:r>
              <w:rPr>
                <w:rFonts w:ascii="仿宋_GB2312" w:eastAsia="仿宋_GB2312" w:hAnsi="宋体" w:hint="eastAsia"/>
                <w:kern w:val="0"/>
                <w:sz w:val="24"/>
                <w:szCs w:val="24"/>
              </w:rPr>
              <w:t>地址：</w:t>
            </w:r>
            <w:r w:rsidR="00D75995">
              <w:rPr>
                <w:rFonts w:ascii="仿宋_GB2312" w:eastAsia="仿宋_GB2312" w:hAnsi="宋体"/>
                <w:kern w:val="0"/>
                <w:sz w:val="24"/>
                <w:szCs w:val="24"/>
              </w:rPr>
              <w:t xml:space="preserve"> </w:t>
            </w:r>
          </w:p>
        </w:tc>
      </w:tr>
      <w:tr w:rsidR="007F0EB0">
        <w:trPr>
          <w:trHeight w:val="1143"/>
          <w:jc w:val="center"/>
        </w:trPr>
        <w:tc>
          <w:tcPr>
            <w:tcW w:w="2542" w:type="pct"/>
            <w:shd w:val="clear" w:color="auto" w:fill="auto"/>
            <w:vAlign w:val="center"/>
          </w:tcPr>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商务联系人：敖静0724-8659282</w:t>
            </w:r>
          </w:p>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技术联系人：</w:t>
            </w:r>
            <w:proofErr w:type="gramStart"/>
            <w:r>
              <w:rPr>
                <w:rFonts w:ascii="仿宋_GB2312" w:eastAsia="仿宋_GB2312" w:hAnsi="宋体" w:hint="eastAsia"/>
                <w:kern w:val="0"/>
                <w:sz w:val="24"/>
                <w:szCs w:val="24"/>
              </w:rPr>
              <w:t>阳晓峰</w:t>
            </w:r>
            <w:proofErr w:type="gramEnd"/>
            <w:r>
              <w:rPr>
                <w:rFonts w:ascii="仿宋_GB2312" w:eastAsia="仿宋_GB2312" w:hAnsi="宋体" w:hint="eastAsia"/>
                <w:kern w:val="0"/>
                <w:sz w:val="24"/>
                <w:szCs w:val="24"/>
              </w:rPr>
              <w:t xml:space="preserve"> 0724-8659071</w:t>
            </w:r>
          </w:p>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传真：0724-8659102</w:t>
            </w:r>
          </w:p>
        </w:tc>
        <w:tc>
          <w:tcPr>
            <w:tcW w:w="2458" w:type="pct"/>
            <w:shd w:val="clear" w:color="auto" w:fill="auto"/>
            <w:vAlign w:val="center"/>
          </w:tcPr>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商务联系人：</w:t>
            </w:r>
          </w:p>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技术联系人：</w:t>
            </w:r>
          </w:p>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传真：</w:t>
            </w:r>
            <w:r w:rsidR="003A4B63">
              <w:rPr>
                <w:rFonts w:ascii="仿宋_GB2312" w:eastAsia="仿宋_GB2312" w:hAnsi="宋体" w:hint="eastAsia"/>
                <w:kern w:val="0"/>
                <w:sz w:val="24"/>
                <w:szCs w:val="24"/>
              </w:rPr>
              <w:t>/</w:t>
            </w:r>
          </w:p>
        </w:tc>
      </w:tr>
      <w:tr w:rsidR="007F0EB0">
        <w:trPr>
          <w:jc w:val="center"/>
        </w:trPr>
        <w:tc>
          <w:tcPr>
            <w:tcW w:w="2542" w:type="pct"/>
            <w:shd w:val="clear" w:color="auto" w:fill="auto"/>
            <w:vAlign w:val="center"/>
          </w:tcPr>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开户银行：</w:t>
            </w:r>
          </w:p>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中国建设银行荆门国电支行</w:t>
            </w:r>
          </w:p>
        </w:tc>
        <w:tc>
          <w:tcPr>
            <w:tcW w:w="2458" w:type="pct"/>
            <w:shd w:val="clear" w:color="auto" w:fill="auto"/>
            <w:vAlign w:val="center"/>
          </w:tcPr>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开户银行：</w:t>
            </w:r>
          </w:p>
          <w:p w:rsidR="003A4B63" w:rsidRDefault="003A4B63">
            <w:pPr>
              <w:widowControl/>
              <w:jc w:val="left"/>
              <w:rPr>
                <w:rFonts w:ascii="仿宋_GB2312" w:eastAsia="仿宋_GB2312" w:hAnsi="宋体"/>
                <w:kern w:val="0"/>
                <w:sz w:val="24"/>
                <w:szCs w:val="24"/>
              </w:rPr>
            </w:pPr>
          </w:p>
        </w:tc>
      </w:tr>
      <w:tr w:rsidR="007F0EB0">
        <w:trPr>
          <w:jc w:val="center"/>
        </w:trPr>
        <w:tc>
          <w:tcPr>
            <w:tcW w:w="2542" w:type="pct"/>
            <w:shd w:val="clear" w:color="auto" w:fill="auto"/>
            <w:vAlign w:val="center"/>
          </w:tcPr>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账号：</w:t>
            </w:r>
          </w:p>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42050166623600000031</w:t>
            </w:r>
          </w:p>
        </w:tc>
        <w:tc>
          <w:tcPr>
            <w:tcW w:w="2458" w:type="pct"/>
            <w:shd w:val="clear" w:color="auto" w:fill="auto"/>
            <w:vAlign w:val="center"/>
          </w:tcPr>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账号：</w:t>
            </w:r>
          </w:p>
          <w:p w:rsidR="007F0EB0" w:rsidRDefault="007F0EB0">
            <w:pPr>
              <w:widowControl/>
              <w:jc w:val="left"/>
              <w:rPr>
                <w:rFonts w:ascii="仿宋_GB2312" w:eastAsia="仿宋_GB2312" w:hAnsi="宋体"/>
                <w:kern w:val="0"/>
                <w:sz w:val="24"/>
                <w:szCs w:val="24"/>
              </w:rPr>
            </w:pPr>
          </w:p>
        </w:tc>
      </w:tr>
      <w:tr w:rsidR="007F0EB0">
        <w:trPr>
          <w:jc w:val="center"/>
        </w:trPr>
        <w:tc>
          <w:tcPr>
            <w:tcW w:w="2542" w:type="pct"/>
            <w:shd w:val="clear" w:color="auto" w:fill="auto"/>
            <w:vAlign w:val="center"/>
          </w:tcPr>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统一社会信用代码证号：</w:t>
            </w:r>
          </w:p>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914208025854508747</w:t>
            </w:r>
          </w:p>
        </w:tc>
        <w:tc>
          <w:tcPr>
            <w:tcW w:w="2458" w:type="pct"/>
            <w:shd w:val="clear" w:color="auto" w:fill="auto"/>
            <w:vAlign w:val="center"/>
          </w:tcPr>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统一社会信用代码证号：</w:t>
            </w:r>
          </w:p>
          <w:p w:rsidR="007F0EB0" w:rsidRDefault="007F0EB0">
            <w:pPr>
              <w:widowControl/>
              <w:jc w:val="left"/>
              <w:rPr>
                <w:rFonts w:ascii="仿宋_GB2312" w:eastAsia="仿宋_GB2312" w:hAnsi="宋体"/>
                <w:kern w:val="0"/>
                <w:sz w:val="24"/>
                <w:szCs w:val="24"/>
              </w:rPr>
            </w:pPr>
          </w:p>
        </w:tc>
      </w:tr>
      <w:tr w:rsidR="007F0EB0">
        <w:trPr>
          <w:trHeight w:val="574"/>
          <w:jc w:val="center"/>
        </w:trPr>
        <w:tc>
          <w:tcPr>
            <w:tcW w:w="2542" w:type="pct"/>
            <w:shd w:val="clear" w:color="auto" w:fill="auto"/>
            <w:vAlign w:val="center"/>
          </w:tcPr>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日期：</w:t>
            </w:r>
            <w:r w:rsidR="00CA0A10">
              <w:rPr>
                <w:rFonts w:ascii="仿宋_GB2312" w:eastAsia="仿宋_GB2312" w:hAnsi="宋体" w:hint="eastAsia"/>
                <w:kern w:val="0"/>
                <w:sz w:val="24"/>
                <w:szCs w:val="24"/>
              </w:rPr>
              <w:t xml:space="preserve"> </w:t>
            </w:r>
            <w:r w:rsidR="00CA0A10">
              <w:rPr>
                <w:rFonts w:ascii="仿宋_GB2312" w:eastAsia="仿宋_GB2312" w:hAnsi="宋体"/>
                <w:kern w:val="0"/>
                <w:sz w:val="24"/>
                <w:szCs w:val="24"/>
              </w:rPr>
              <w:t xml:space="preserve"> </w:t>
            </w:r>
            <w:r>
              <w:rPr>
                <w:rFonts w:ascii="仿宋_GB2312" w:eastAsia="仿宋_GB2312" w:hAnsi="宋体" w:hint="eastAsia"/>
                <w:kern w:val="0"/>
                <w:sz w:val="24"/>
                <w:szCs w:val="24"/>
              </w:rPr>
              <w:t xml:space="preserve">    年</w:t>
            </w:r>
            <w:r w:rsidR="00CA0A10">
              <w:rPr>
                <w:rFonts w:ascii="仿宋_GB2312" w:eastAsia="仿宋_GB2312" w:hAnsi="宋体" w:hint="eastAsia"/>
                <w:kern w:val="0"/>
                <w:sz w:val="24"/>
                <w:szCs w:val="24"/>
              </w:rPr>
              <w:t xml:space="preserve">  </w:t>
            </w:r>
            <w:r>
              <w:rPr>
                <w:rFonts w:ascii="仿宋_GB2312" w:eastAsia="仿宋_GB2312" w:hAnsi="宋体" w:hint="eastAsia"/>
                <w:kern w:val="0"/>
                <w:sz w:val="24"/>
                <w:szCs w:val="24"/>
              </w:rPr>
              <w:t>月</w:t>
            </w:r>
            <w:r w:rsidR="00CA0A10">
              <w:rPr>
                <w:rFonts w:ascii="仿宋_GB2312" w:eastAsia="仿宋_GB2312" w:hAnsi="宋体" w:hint="eastAsia"/>
                <w:kern w:val="0"/>
                <w:sz w:val="24"/>
                <w:szCs w:val="24"/>
              </w:rPr>
              <w:t xml:space="preserve">  </w:t>
            </w:r>
            <w:r>
              <w:rPr>
                <w:rFonts w:ascii="仿宋_GB2312" w:eastAsia="仿宋_GB2312" w:hAnsi="宋体" w:hint="eastAsia"/>
                <w:kern w:val="0"/>
                <w:sz w:val="24"/>
                <w:szCs w:val="24"/>
              </w:rPr>
              <w:t>日</w:t>
            </w:r>
          </w:p>
        </w:tc>
        <w:tc>
          <w:tcPr>
            <w:tcW w:w="2458" w:type="pct"/>
            <w:shd w:val="clear" w:color="auto" w:fill="auto"/>
            <w:vAlign w:val="center"/>
          </w:tcPr>
          <w:p w:rsidR="007F0EB0" w:rsidRDefault="00C84DC5">
            <w:pPr>
              <w:widowControl/>
              <w:jc w:val="left"/>
              <w:rPr>
                <w:rFonts w:ascii="仿宋_GB2312" w:eastAsia="仿宋_GB2312" w:hAnsi="宋体"/>
                <w:kern w:val="0"/>
                <w:sz w:val="24"/>
                <w:szCs w:val="24"/>
              </w:rPr>
            </w:pPr>
            <w:r>
              <w:rPr>
                <w:rFonts w:ascii="仿宋_GB2312" w:eastAsia="仿宋_GB2312" w:hAnsi="宋体" w:hint="eastAsia"/>
                <w:kern w:val="0"/>
                <w:sz w:val="24"/>
                <w:szCs w:val="24"/>
              </w:rPr>
              <w:t>日期：</w:t>
            </w:r>
            <w:r w:rsidR="00CA0A10">
              <w:rPr>
                <w:rFonts w:ascii="仿宋_GB2312" w:eastAsia="仿宋_GB2312" w:hAnsi="宋体" w:hint="eastAsia"/>
                <w:kern w:val="0"/>
                <w:sz w:val="24"/>
                <w:szCs w:val="24"/>
              </w:rPr>
              <w:t xml:space="preserve"> </w:t>
            </w:r>
            <w:r w:rsidR="00CA0A10">
              <w:rPr>
                <w:rFonts w:ascii="仿宋_GB2312" w:eastAsia="仿宋_GB2312" w:hAnsi="宋体"/>
                <w:kern w:val="0"/>
                <w:sz w:val="24"/>
                <w:szCs w:val="24"/>
              </w:rPr>
              <w:t xml:space="preserve"> </w:t>
            </w:r>
            <w:r>
              <w:rPr>
                <w:rFonts w:ascii="仿宋_GB2312" w:eastAsia="仿宋_GB2312" w:hAnsi="宋体" w:hint="eastAsia"/>
                <w:kern w:val="0"/>
                <w:sz w:val="24"/>
                <w:szCs w:val="24"/>
              </w:rPr>
              <w:t xml:space="preserve">    年</w:t>
            </w:r>
            <w:r w:rsidR="00CA0A10">
              <w:rPr>
                <w:rFonts w:ascii="仿宋_GB2312" w:eastAsia="仿宋_GB2312" w:hAnsi="宋体" w:hint="eastAsia"/>
                <w:kern w:val="0"/>
                <w:sz w:val="24"/>
                <w:szCs w:val="24"/>
              </w:rPr>
              <w:t xml:space="preserve">  </w:t>
            </w:r>
            <w:r>
              <w:rPr>
                <w:rFonts w:ascii="仿宋_GB2312" w:eastAsia="仿宋_GB2312" w:hAnsi="宋体" w:hint="eastAsia"/>
                <w:kern w:val="0"/>
                <w:sz w:val="24"/>
                <w:szCs w:val="24"/>
              </w:rPr>
              <w:t>月</w:t>
            </w:r>
            <w:r w:rsidR="00CA0A10">
              <w:rPr>
                <w:rFonts w:ascii="仿宋_GB2312" w:eastAsia="仿宋_GB2312" w:hAnsi="宋体" w:hint="eastAsia"/>
                <w:kern w:val="0"/>
                <w:sz w:val="24"/>
                <w:szCs w:val="24"/>
              </w:rPr>
              <w:t xml:space="preserve">  </w:t>
            </w:r>
            <w:r>
              <w:rPr>
                <w:rFonts w:ascii="仿宋_GB2312" w:eastAsia="仿宋_GB2312" w:hAnsi="宋体" w:hint="eastAsia"/>
                <w:kern w:val="0"/>
                <w:sz w:val="24"/>
                <w:szCs w:val="24"/>
              </w:rPr>
              <w:t>日</w:t>
            </w:r>
          </w:p>
        </w:tc>
      </w:tr>
    </w:tbl>
    <w:p w:rsidR="007F0EB0" w:rsidRDefault="007F0EB0">
      <w:pPr>
        <w:widowControl/>
        <w:jc w:val="left"/>
        <w:rPr>
          <w:rFonts w:ascii="宋体" w:hAnsi="宋体" w:cs="Arial"/>
          <w:color w:val="000000"/>
          <w:sz w:val="24"/>
          <w:szCs w:val="24"/>
        </w:rPr>
      </w:pPr>
    </w:p>
    <w:sectPr w:rsidR="007F0EB0" w:rsidSect="00D13779">
      <w:footerReference w:type="default" r:id="rId9"/>
      <w:pgSz w:w="11906" w:h="16838"/>
      <w:pgMar w:top="1418" w:right="1588" w:bottom="1474" w:left="1588"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2FE0" w:rsidRDefault="00A52FE0">
      <w:r>
        <w:separator/>
      </w:r>
    </w:p>
  </w:endnote>
  <w:endnote w:type="continuationSeparator" w:id="0">
    <w:p w:rsidR="00A52FE0" w:rsidRDefault="00A52F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等线">
    <w:charset w:val="86"/>
    <w:family w:val="auto"/>
    <w:pitch w:val="variable"/>
    <w:sig w:usb0="A00002BF" w:usb1="38CF7CFA" w:usb2="00000016" w:usb3="00000000" w:csb0="0004000F"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70293750"/>
      <w:docPartObj>
        <w:docPartGallery w:val="Page Numbers (Bottom of Page)"/>
        <w:docPartUnique/>
      </w:docPartObj>
    </w:sdtPr>
    <w:sdtEndPr/>
    <w:sdtContent>
      <w:p w:rsidR="00D13779" w:rsidRDefault="00D13779">
        <w:pPr>
          <w:pStyle w:val="a7"/>
          <w:jc w:val="center"/>
        </w:pPr>
        <w:r>
          <w:fldChar w:fldCharType="begin"/>
        </w:r>
        <w:r>
          <w:instrText>PAGE   \* MERGEFORMAT</w:instrText>
        </w:r>
        <w:r>
          <w:fldChar w:fldCharType="separate"/>
        </w:r>
        <w:r w:rsidR="00202E64" w:rsidRPr="00202E64">
          <w:rPr>
            <w:noProof/>
            <w:lang w:val="zh-CN"/>
          </w:rPr>
          <w:t>4</w:t>
        </w:r>
        <w:r>
          <w:fldChar w:fldCharType="end"/>
        </w:r>
      </w:p>
    </w:sdtContent>
  </w:sdt>
  <w:p w:rsidR="00D13779" w:rsidRPr="00D13779" w:rsidRDefault="00D13779" w:rsidP="00D13779">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2FE0" w:rsidRDefault="00A52FE0">
      <w:r>
        <w:separator/>
      </w:r>
    </w:p>
  </w:footnote>
  <w:footnote w:type="continuationSeparator" w:id="0">
    <w:p w:rsidR="00A52FE0" w:rsidRDefault="00A52F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0EB0" w:rsidRDefault="007F0EB0">
    <w:pPr>
      <w:pStyle w:val="a8"/>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6C45"/>
    <w:rsid w:val="00020887"/>
    <w:rsid w:val="00030995"/>
    <w:rsid w:val="00035356"/>
    <w:rsid w:val="00035A6E"/>
    <w:rsid w:val="00050B55"/>
    <w:rsid w:val="00050FDF"/>
    <w:rsid w:val="00061978"/>
    <w:rsid w:val="00072FF3"/>
    <w:rsid w:val="00075DBF"/>
    <w:rsid w:val="00077645"/>
    <w:rsid w:val="000824DE"/>
    <w:rsid w:val="00092B01"/>
    <w:rsid w:val="000A05D7"/>
    <w:rsid w:val="000A17E9"/>
    <w:rsid w:val="000A2F4B"/>
    <w:rsid w:val="000D13DE"/>
    <w:rsid w:val="000D2E8D"/>
    <w:rsid w:val="000D2EDF"/>
    <w:rsid w:val="000D392E"/>
    <w:rsid w:val="000D4744"/>
    <w:rsid w:val="000D5618"/>
    <w:rsid w:val="000F00C6"/>
    <w:rsid w:val="000F22BA"/>
    <w:rsid w:val="00103174"/>
    <w:rsid w:val="001373C4"/>
    <w:rsid w:val="00143994"/>
    <w:rsid w:val="001638E4"/>
    <w:rsid w:val="0016670C"/>
    <w:rsid w:val="0017226D"/>
    <w:rsid w:val="00184C7C"/>
    <w:rsid w:val="00193A71"/>
    <w:rsid w:val="00196868"/>
    <w:rsid w:val="001A4F12"/>
    <w:rsid w:val="001B094E"/>
    <w:rsid w:val="001B5021"/>
    <w:rsid w:val="001D180B"/>
    <w:rsid w:val="001D30BB"/>
    <w:rsid w:val="001E3BB4"/>
    <w:rsid w:val="001E78AB"/>
    <w:rsid w:val="001F6F91"/>
    <w:rsid w:val="00202E64"/>
    <w:rsid w:val="00206419"/>
    <w:rsid w:val="00210C9B"/>
    <w:rsid w:val="002131AC"/>
    <w:rsid w:val="002146A6"/>
    <w:rsid w:val="00216070"/>
    <w:rsid w:val="00221364"/>
    <w:rsid w:val="0023362F"/>
    <w:rsid w:val="002515FB"/>
    <w:rsid w:val="00283A03"/>
    <w:rsid w:val="002903B9"/>
    <w:rsid w:val="002A1116"/>
    <w:rsid w:val="002A4ABD"/>
    <w:rsid w:val="002C1540"/>
    <w:rsid w:val="002C1FEE"/>
    <w:rsid w:val="002C2DF2"/>
    <w:rsid w:val="002E2F5A"/>
    <w:rsid w:val="003010EB"/>
    <w:rsid w:val="00303B78"/>
    <w:rsid w:val="0031138C"/>
    <w:rsid w:val="00312ADB"/>
    <w:rsid w:val="00325B54"/>
    <w:rsid w:val="00326D30"/>
    <w:rsid w:val="00331385"/>
    <w:rsid w:val="00335E66"/>
    <w:rsid w:val="0033691E"/>
    <w:rsid w:val="00350D92"/>
    <w:rsid w:val="0035144B"/>
    <w:rsid w:val="003657E5"/>
    <w:rsid w:val="00374063"/>
    <w:rsid w:val="00374A2C"/>
    <w:rsid w:val="0037552D"/>
    <w:rsid w:val="00383350"/>
    <w:rsid w:val="003904DA"/>
    <w:rsid w:val="00393A19"/>
    <w:rsid w:val="003A07D4"/>
    <w:rsid w:val="003A4B63"/>
    <w:rsid w:val="003B0F68"/>
    <w:rsid w:val="003C0FA1"/>
    <w:rsid w:val="003D2CD9"/>
    <w:rsid w:val="00404C41"/>
    <w:rsid w:val="004118B0"/>
    <w:rsid w:val="00422196"/>
    <w:rsid w:val="004233C4"/>
    <w:rsid w:val="004516FE"/>
    <w:rsid w:val="00462939"/>
    <w:rsid w:val="004640A2"/>
    <w:rsid w:val="00471843"/>
    <w:rsid w:val="004845C4"/>
    <w:rsid w:val="004A0BAB"/>
    <w:rsid w:val="004A3ECB"/>
    <w:rsid w:val="004B0C57"/>
    <w:rsid w:val="004B1A2A"/>
    <w:rsid w:val="004C0CB1"/>
    <w:rsid w:val="004D5EB3"/>
    <w:rsid w:val="004E700F"/>
    <w:rsid w:val="004F4DDA"/>
    <w:rsid w:val="005039F8"/>
    <w:rsid w:val="00511EC9"/>
    <w:rsid w:val="00514719"/>
    <w:rsid w:val="005152EE"/>
    <w:rsid w:val="00524B04"/>
    <w:rsid w:val="0055030F"/>
    <w:rsid w:val="005569CC"/>
    <w:rsid w:val="0056143B"/>
    <w:rsid w:val="00565516"/>
    <w:rsid w:val="005657E8"/>
    <w:rsid w:val="00571BF9"/>
    <w:rsid w:val="005929C3"/>
    <w:rsid w:val="005973CF"/>
    <w:rsid w:val="005A5C73"/>
    <w:rsid w:val="005A6205"/>
    <w:rsid w:val="005A6FB1"/>
    <w:rsid w:val="005B1207"/>
    <w:rsid w:val="005D5B8C"/>
    <w:rsid w:val="005D6DD2"/>
    <w:rsid w:val="005E7077"/>
    <w:rsid w:val="005F69A5"/>
    <w:rsid w:val="005F6ACC"/>
    <w:rsid w:val="00604ED5"/>
    <w:rsid w:val="0061377C"/>
    <w:rsid w:val="00617760"/>
    <w:rsid w:val="00623534"/>
    <w:rsid w:val="0063738A"/>
    <w:rsid w:val="00651DFB"/>
    <w:rsid w:val="00657C1F"/>
    <w:rsid w:val="00664A82"/>
    <w:rsid w:val="00677961"/>
    <w:rsid w:val="006C569D"/>
    <w:rsid w:val="006D7687"/>
    <w:rsid w:val="006F4F9D"/>
    <w:rsid w:val="00704D24"/>
    <w:rsid w:val="0073156B"/>
    <w:rsid w:val="0073618C"/>
    <w:rsid w:val="00740528"/>
    <w:rsid w:val="007415B5"/>
    <w:rsid w:val="00742587"/>
    <w:rsid w:val="00742CBA"/>
    <w:rsid w:val="00745972"/>
    <w:rsid w:val="007556AD"/>
    <w:rsid w:val="00757BAC"/>
    <w:rsid w:val="007624D8"/>
    <w:rsid w:val="00770562"/>
    <w:rsid w:val="00771A47"/>
    <w:rsid w:val="00772DFE"/>
    <w:rsid w:val="007A7BA7"/>
    <w:rsid w:val="007C05C3"/>
    <w:rsid w:val="007C230D"/>
    <w:rsid w:val="007C60F0"/>
    <w:rsid w:val="007D227C"/>
    <w:rsid w:val="007D2B36"/>
    <w:rsid w:val="007D586E"/>
    <w:rsid w:val="007F0EB0"/>
    <w:rsid w:val="00805AFE"/>
    <w:rsid w:val="00813A8F"/>
    <w:rsid w:val="008235A8"/>
    <w:rsid w:val="008263AD"/>
    <w:rsid w:val="008313A2"/>
    <w:rsid w:val="00834B43"/>
    <w:rsid w:val="00836693"/>
    <w:rsid w:val="00836EFB"/>
    <w:rsid w:val="00846938"/>
    <w:rsid w:val="0085029C"/>
    <w:rsid w:val="00852D7B"/>
    <w:rsid w:val="00855121"/>
    <w:rsid w:val="008675DA"/>
    <w:rsid w:val="008712A7"/>
    <w:rsid w:val="00881659"/>
    <w:rsid w:val="00886A22"/>
    <w:rsid w:val="008961EC"/>
    <w:rsid w:val="008A2169"/>
    <w:rsid w:val="008A58AF"/>
    <w:rsid w:val="008B3C6D"/>
    <w:rsid w:val="008C00A2"/>
    <w:rsid w:val="008C0342"/>
    <w:rsid w:val="008D2C10"/>
    <w:rsid w:val="008E40A0"/>
    <w:rsid w:val="008F059C"/>
    <w:rsid w:val="008F0B1B"/>
    <w:rsid w:val="008F32DA"/>
    <w:rsid w:val="00900ABE"/>
    <w:rsid w:val="009037D0"/>
    <w:rsid w:val="009243A3"/>
    <w:rsid w:val="00952090"/>
    <w:rsid w:val="00956773"/>
    <w:rsid w:val="00974A48"/>
    <w:rsid w:val="00983A91"/>
    <w:rsid w:val="00987367"/>
    <w:rsid w:val="009907F1"/>
    <w:rsid w:val="00993ACC"/>
    <w:rsid w:val="009A24AA"/>
    <w:rsid w:val="009A2F38"/>
    <w:rsid w:val="009C133F"/>
    <w:rsid w:val="009C454A"/>
    <w:rsid w:val="009D004D"/>
    <w:rsid w:val="009E2534"/>
    <w:rsid w:val="009E49AA"/>
    <w:rsid w:val="009F0004"/>
    <w:rsid w:val="009F1933"/>
    <w:rsid w:val="009F2DEE"/>
    <w:rsid w:val="009F5D85"/>
    <w:rsid w:val="00A031A7"/>
    <w:rsid w:val="00A17C26"/>
    <w:rsid w:val="00A5176C"/>
    <w:rsid w:val="00A52FE0"/>
    <w:rsid w:val="00A53766"/>
    <w:rsid w:val="00A54F49"/>
    <w:rsid w:val="00A5661B"/>
    <w:rsid w:val="00A6263D"/>
    <w:rsid w:val="00A643D8"/>
    <w:rsid w:val="00A65D8A"/>
    <w:rsid w:val="00A7180D"/>
    <w:rsid w:val="00A825EF"/>
    <w:rsid w:val="00A849DF"/>
    <w:rsid w:val="00A85F8A"/>
    <w:rsid w:val="00A951F9"/>
    <w:rsid w:val="00AC785F"/>
    <w:rsid w:val="00AF0EC9"/>
    <w:rsid w:val="00AF2313"/>
    <w:rsid w:val="00B0128B"/>
    <w:rsid w:val="00B023A1"/>
    <w:rsid w:val="00B07B44"/>
    <w:rsid w:val="00B128CD"/>
    <w:rsid w:val="00B16299"/>
    <w:rsid w:val="00B162A2"/>
    <w:rsid w:val="00B21A7F"/>
    <w:rsid w:val="00B21CB8"/>
    <w:rsid w:val="00B23EC2"/>
    <w:rsid w:val="00B24E44"/>
    <w:rsid w:val="00B450AE"/>
    <w:rsid w:val="00B55EB2"/>
    <w:rsid w:val="00B65ECF"/>
    <w:rsid w:val="00B81D37"/>
    <w:rsid w:val="00B83749"/>
    <w:rsid w:val="00BB30EF"/>
    <w:rsid w:val="00BC0C58"/>
    <w:rsid w:val="00BC4A6B"/>
    <w:rsid w:val="00BD3503"/>
    <w:rsid w:val="00C16F96"/>
    <w:rsid w:val="00C335C1"/>
    <w:rsid w:val="00C41713"/>
    <w:rsid w:val="00C44073"/>
    <w:rsid w:val="00C53D8F"/>
    <w:rsid w:val="00C63447"/>
    <w:rsid w:val="00C63468"/>
    <w:rsid w:val="00C665A2"/>
    <w:rsid w:val="00C805D1"/>
    <w:rsid w:val="00C84DC5"/>
    <w:rsid w:val="00CA0A10"/>
    <w:rsid w:val="00CB13DA"/>
    <w:rsid w:val="00CC09D7"/>
    <w:rsid w:val="00CD3CF8"/>
    <w:rsid w:val="00CF42B6"/>
    <w:rsid w:val="00D05D5D"/>
    <w:rsid w:val="00D13779"/>
    <w:rsid w:val="00D14FB8"/>
    <w:rsid w:val="00D24A24"/>
    <w:rsid w:val="00D3324F"/>
    <w:rsid w:val="00D34B68"/>
    <w:rsid w:val="00D4129E"/>
    <w:rsid w:val="00D53382"/>
    <w:rsid w:val="00D55124"/>
    <w:rsid w:val="00D563E2"/>
    <w:rsid w:val="00D64A72"/>
    <w:rsid w:val="00D652EC"/>
    <w:rsid w:val="00D65339"/>
    <w:rsid w:val="00D673BB"/>
    <w:rsid w:val="00D71851"/>
    <w:rsid w:val="00D7556C"/>
    <w:rsid w:val="00D75995"/>
    <w:rsid w:val="00D7629C"/>
    <w:rsid w:val="00D83828"/>
    <w:rsid w:val="00D910B7"/>
    <w:rsid w:val="00D96C45"/>
    <w:rsid w:val="00DA02DF"/>
    <w:rsid w:val="00DA2FC2"/>
    <w:rsid w:val="00DB4FED"/>
    <w:rsid w:val="00DC4CCA"/>
    <w:rsid w:val="00DC7A51"/>
    <w:rsid w:val="00DD77A9"/>
    <w:rsid w:val="00DE3860"/>
    <w:rsid w:val="00DF48D5"/>
    <w:rsid w:val="00E135F6"/>
    <w:rsid w:val="00E24D40"/>
    <w:rsid w:val="00E35C0D"/>
    <w:rsid w:val="00E45872"/>
    <w:rsid w:val="00E55029"/>
    <w:rsid w:val="00E62BB4"/>
    <w:rsid w:val="00E62F6B"/>
    <w:rsid w:val="00E67C98"/>
    <w:rsid w:val="00E76F94"/>
    <w:rsid w:val="00E81712"/>
    <w:rsid w:val="00E82A4F"/>
    <w:rsid w:val="00EA31AD"/>
    <w:rsid w:val="00EA3C04"/>
    <w:rsid w:val="00EC3DF5"/>
    <w:rsid w:val="00EC4AA5"/>
    <w:rsid w:val="00ED1885"/>
    <w:rsid w:val="00ED4DB2"/>
    <w:rsid w:val="00EE3143"/>
    <w:rsid w:val="00EF25EC"/>
    <w:rsid w:val="00EF34BA"/>
    <w:rsid w:val="00F0266F"/>
    <w:rsid w:val="00F03078"/>
    <w:rsid w:val="00F058BF"/>
    <w:rsid w:val="00F11394"/>
    <w:rsid w:val="00F13B38"/>
    <w:rsid w:val="00F20C08"/>
    <w:rsid w:val="00F2110E"/>
    <w:rsid w:val="00F25FDA"/>
    <w:rsid w:val="00F31F4D"/>
    <w:rsid w:val="00F509D6"/>
    <w:rsid w:val="00F60E42"/>
    <w:rsid w:val="00F66C64"/>
    <w:rsid w:val="00F71B5D"/>
    <w:rsid w:val="00F750DC"/>
    <w:rsid w:val="00F82952"/>
    <w:rsid w:val="00F86827"/>
    <w:rsid w:val="00F86DF5"/>
    <w:rsid w:val="00F93A84"/>
    <w:rsid w:val="00FA6D5F"/>
    <w:rsid w:val="00FC6023"/>
    <w:rsid w:val="00FD3367"/>
    <w:rsid w:val="00FF3C87"/>
    <w:rsid w:val="16622BB2"/>
    <w:rsid w:val="78F43C2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0C5F4CE-85BB-4C35-9C63-B208F6A61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uiPriority="0"/>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Pr>
      <w:rFonts w:ascii="宋体"/>
      <w:sz w:val="18"/>
      <w:szCs w:val="18"/>
    </w:rPr>
  </w:style>
  <w:style w:type="paragraph" w:styleId="a4">
    <w:name w:val="annotation text"/>
    <w:basedOn w:val="a"/>
    <w:link w:val="Char0"/>
    <w:uiPriority w:val="99"/>
    <w:semiHidden/>
    <w:unhideWhenUsed/>
    <w:qFormat/>
    <w:pPr>
      <w:jc w:val="left"/>
    </w:pPr>
  </w:style>
  <w:style w:type="paragraph" w:styleId="a5">
    <w:name w:val="Plain Text"/>
    <w:basedOn w:val="a"/>
    <w:link w:val="Char1"/>
    <w:pPr>
      <w:spacing w:line="400" w:lineRule="exact"/>
      <w:ind w:firstLineChars="200" w:firstLine="200"/>
    </w:pPr>
    <w:rPr>
      <w:rFonts w:ascii="宋体" w:hAnsi="Courier New"/>
      <w:kern w:val="0"/>
      <w:sz w:val="24"/>
      <w:szCs w:val="21"/>
    </w:rPr>
  </w:style>
  <w:style w:type="paragraph" w:styleId="a6">
    <w:name w:val="Balloon Text"/>
    <w:basedOn w:val="a"/>
    <w:link w:val="Char2"/>
    <w:uiPriority w:val="99"/>
    <w:semiHidden/>
    <w:unhideWhenUsed/>
    <w:qFormat/>
    <w:rPr>
      <w:sz w:val="18"/>
      <w:szCs w:val="18"/>
    </w:rPr>
  </w:style>
  <w:style w:type="paragraph" w:styleId="a7">
    <w:name w:val="footer"/>
    <w:basedOn w:val="a"/>
    <w:link w:val="Char3"/>
    <w:uiPriority w:val="99"/>
    <w:unhideWhenUsed/>
    <w:pPr>
      <w:tabs>
        <w:tab w:val="center" w:pos="4153"/>
        <w:tab w:val="right" w:pos="8306"/>
      </w:tabs>
      <w:snapToGrid w:val="0"/>
      <w:jc w:val="left"/>
    </w:pPr>
    <w:rPr>
      <w:kern w:val="0"/>
      <w:sz w:val="18"/>
      <w:szCs w:val="18"/>
    </w:rPr>
  </w:style>
  <w:style w:type="paragraph" w:styleId="a8">
    <w:name w:val="header"/>
    <w:basedOn w:val="a"/>
    <w:link w:val="Char4"/>
    <w:uiPriority w:val="99"/>
    <w:unhideWhenUsed/>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39"/>
    <w:unhideWhenUsed/>
    <w:qFormat/>
  </w:style>
  <w:style w:type="paragraph" w:styleId="a9">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paragraph" w:styleId="aa">
    <w:name w:val="annotation subject"/>
    <w:basedOn w:val="a4"/>
    <w:next w:val="a4"/>
    <w:link w:val="Char5"/>
    <w:uiPriority w:val="99"/>
    <w:semiHidden/>
    <w:unhideWhenUsed/>
    <w:rPr>
      <w:b/>
      <w:bCs/>
    </w:rPr>
  </w:style>
  <w:style w:type="table" w:styleId="ab">
    <w:name w:val="Table Grid"/>
    <w:basedOn w:val="a1"/>
    <w:uiPriority w:val="39"/>
    <w:rPr>
      <w:rFonts w:ascii="等线" w:eastAsia="等线" w:hAnsi="等线"/>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basedOn w:val="a0"/>
    <w:uiPriority w:val="99"/>
    <w:unhideWhenUsed/>
    <w:qFormat/>
    <w:rPr>
      <w:color w:val="0000FF" w:themeColor="hyperlink"/>
      <w:u w:val="single"/>
    </w:rPr>
  </w:style>
  <w:style w:type="character" w:styleId="ad">
    <w:name w:val="annotation reference"/>
    <w:basedOn w:val="a0"/>
    <w:uiPriority w:val="99"/>
    <w:semiHidden/>
    <w:unhideWhenUsed/>
    <w:qFormat/>
    <w:rPr>
      <w:sz w:val="21"/>
      <w:szCs w:val="21"/>
    </w:rPr>
  </w:style>
  <w:style w:type="character" w:customStyle="1" w:styleId="Char6">
    <w:name w:val="纯文本 Char"/>
    <w:uiPriority w:val="99"/>
    <w:semiHidden/>
    <w:qFormat/>
    <w:rPr>
      <w:rFonts w:ascii="宋体" w:eastAsia="宋体" w:hAnsi="Courier New" w:cs="Courier New"/>
      <w:szCs w:val="21"/>
    </w:rPr>
  </w:style>
  <w:style w:type="character" w:customStyle="1" w:styleId="Char1">
    <w:name w:val="纯文本 Char1"/>
    <w:link w:val="a5"/>
    <w:rPr>
      <w:rFonts w:ascii="宋体" w:eastAsia="宋体" w:hAnsi="Courier New" w:cs="楷体_GB2312"/>
      <w:sz w:val="24"/>
      <w:szCs w:val="21"/>
    </w:rPr>
  </w:style>
  <w:style w:type="character" w:customStyle="1" w:styleId="Char4">
    <w:name w:val="页眉 Char"/>
    <w:link w:val="a8"/>
    <w:uiPriority w:val="99"/>
    <w:rPr>
      <w:rFonts w:ascii="Calibri" w:eastAsia="宋体" w:hAnsi="Calibri" w:cs="Times New Roman"/>
      <w:sz w:val="18"/>
      <w:szCs w:val="18"/>
    </w:rPr>
  </w:style>
  <w:style w:type="character" w:customStyle="1" w:styleId="Char3">
    <w:name w:val="页脚 Char"/>
    <w:link w:val="a7"/>
    <w:uiPriority w:val="99"/>
    <w:rPr>
      <w:rFonts w:ascii="Calibri" w:eastAsia="宋体" w:hAnsi="Calibri" w:cs="Times New Roman"/>
      <w:sz w:val="18"/>
      <w:szCs w:val="18"/>
    </w:rPr>
  </w:style>
  <w:style w:type="paragraph" w:customStyle="1" w:styleId="11">
    <w:name w:val="样式1"/>
    <w:basedOn w:val="a8"/>
    <w:link w:val="1Char0"/>
    <w:qFormat/>
    <w:pPr>
      <w:pBdr>
        <w:bottom w:val="none" w:sz="0" w:space="0" w:color="auto"/>
      </w:pBdr>
      <w:jc w:val="both"/>
    </w:pPr>
  </w:style>
  <w:style w:type="character" w:customStyle="1" w:styleId="1Char0">
    <w:name w:val="样式1 Char"/>
    <w:basedOn w:val="Char4"/>
    <w:link w:val="11"/>
    <w:rPr>
      <w:rFonts w:ascii="Calibri" w:eastAsia="宋体" w:hAnsi="Calibri" w:cs="Times New Roman"/>
      <w:sz w:val="18"/>
      <w:szCs w:val="18"/>
    </w:rPr>
  </w:style>
  <w:style w:type="character" w:customStyle="1" w:styleId="Char2">
    <w:name w:val="批注框文本 Char"/>
    <w:link w:val="a6"/>
    <w:uiPriority w:val="99"/>
    <w:semiHidden/>
    <w:rPr>
      <w:kern w:val="2"/>
      <w:sz w:val="18"/>
      <w:szCs w:val="18"/>
    </w:rPr>
  </w:style>
  <w:style w:type="paragraph" w:styleId="ae">
    <w:name w:val="No Spacing"/>
    <w:link w:val="Char7"/>
    <w:uiPriority w:val="1"/>
    <w:qFormat/>
    <w:rPr>
      <w:sz w:val="22"/>
      <w:szCs w:val="22"/>
    </w:rPr>
  </w:style>
  <w:style w:type="character" w:customStyle="1" w:styleId="Char7">
    <w:name w:val="无间隔 Char"/>
    <w:basedOn w:val="a0"/>
    <w:link w:val="ae"/>
    <w:uiPriority w:val="1"/>
    <w:rPr>
      <w:sz w:val="22"/>
      <w:szCs w:val="22"/>
      <w:lang w:val="en-US" w:eastAsia="zh-CN" w:bidi="ar-SA"/>
    </w:rPr>
  </w:style>
  <w:style w:type="character" w:customStyle="1" w:styleId="Char">
    <w:name w:val="文档结构图 Char"/>
    <w:basedOn w:val="a0"/>
    <w:link w:val="a3"/>
    <w:uiPriority w:val="99"/>
    <w:semiHidden/>
    <w:rPr>
      <w:rFonts w:ascii="宋体"/>
      <w:kern w:val="2"/>
      <w:sz w:val="18"/>
      <w:szCs w:val="18"/>
    </w:rPr>
  </w:style>
  <w:style w:type="character" w:customStyle="1" w:styleId="1Char">
    <w:name w:val="标题 1 Char"/>
    <w:basedOn w:val="a0"/>
    <w:link w:val="1"/>
    <w:uiPriority w:val="9"/>
    <w:rPr>
      <w:b/>
      <w:bCs/>
      <w:kern w:val="44"/>
      <w:sz w:val="44"/>
      <w:szCs w:val="44"/>
    </w:r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f">
    <w:name w:val="List Paragraph"/>
    <w:basedOn w:val="a"/>
    <w:uiPriority w:val="34"/>
    <w:qFormat/>
    <w:pPr>
      <w:ind w:firstLineChars="200" w:firstLine="420"/>
    </w:pPr>
  </w:style>
  <w:style w:type="character" w:customStyle="1" w:styleId="Char0">
    <w:name w:val="批注文字 Char"/>
    <w:basedOn w:val="a0"/>
    <w:link w:val="a4"/>
    <w:uiPriority w:val="99"/>
    <w:semiHidden/>
    <w:qFormat/>
    <w:rPr>
      <w:kern w:val="2"/>
      <w:sz w:val="21"/>
      <w:szCs w:val="22"/>
    </w:rPr>
  </w:style>
  <w:style w:type="character" w:customStyle="1" w:styleId="Char5">
    <w:name w:val="批注主题 Char"/>
    <w:basedOn w:val="Char0"/>
    <w:link w:val="aa"/>
    <w:uiPriority w:val="99"/>
    <w:semiHidden/>
    <w:qFormat/>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60060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1CC73D-2144-4CEB-8019-63D57A3A35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1</Pages>
  <Words>482</Words>
  <Characters>2748</Characters>
  <Application>Microsoft Office Word</Application>
  <DocSecurity>0</DocSecurity>
  <Lines>22</Lines>
  <Paragraphs>6</Paragraphs>
  <ScaleCrop>false</ScaleCrop>
  <Company>Microsoft</Company>
  <LinksUpToDate>false</LinksUpToDate>
  <CharactersWithSpaces>3224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hanlanlan.jm</dc:creator>
  <cp:lastModifiedBy>彭易俗.jm</cp:lastModifiedBy>
  <cp:revision>31</cp:revision>
  <cp:lastPrinted>2024-01-09T01:55:00Z</cp:lastPrinted>
  <dcterms:created xsi:type="dcterms:W3CDTF">2023-03-01T08:07:00Z</dcterms:created>
  <dcterms:modified xsi:type="dcterms:W3CDTF">2025-12-16T01:09:00Z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5179EC65086D485DA2BBC32AFC735BE0</vt:lpwstr>
  </property>
</Properties>
</file>