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360" w:lineRule="auto"/>
        <w:jc w:val="center"/>
        <w:rPr>
          <w:rFonts w:hint="default" w:ascii="宋体" w:eastAsia="宋体"/>
          <w:b/>
          <w:color w:val="auto"/>
          <w:sz w:val="52"/>
          <w:szCs w:val="52"/>
          <w:highlight w:val="none"/>
          <w:lang w:val="en-US" w:eastAsia="zh-CN"/>
        </w:rPr>
      </w:pPr>
      <w:r>
        <w:rPr>
          <w:rFonts w:hint="eastAsia" w:ascii="宋体"/>
          <w:b/>
          <w:color w:val="auto"/>
          <w:sz w:val="52"/>
          <w:szCs w:val="52"/>
          <w:highlight w:val="none"/>
          <w:lang w:val="en-US" w:eastAsia="zh-CN"/>
        </w:rPr>
        <w:t>华能华苏太仓发电有限公司</w:t>
      </w:r>
    </w:p>
    <w:p>
      <w:pPr>
        <w:snapToGrid w:val="0"/>
        <w:spacing w:line="480" w:lineRule="auto"/>
        <w:jc w:val="center"/>
        <w:rPr>
          <w:rFonts w:ascii="宋体"/>
          <w:b/>
          <w:color w:val="auto"/>
          <w:sz w:val="44"/>
          <w:szCs w:val="44"/>
          <w:highlight w:val="none"/>
        </w:rPr>
      </w:pPr>
      <w:r>
        <w:rPr>
          <w:rFonts w:hint="eastAsia" w:ascii="宋体"/>
          <w:b/>
          <w:color w:val="auto"/>
          <w:sz w:val="44"/>
          <w:szCs w:val="44"/>
          <w:highlight w:val="none"/>
        </w:rPr>
        <w:t>2025年</w:t>
      </w:r>
      <w:r>
        <w:rPr>
          <w:rFonts w:hint="eastAsia" w:ascii="宋体"/>
          <w:b/>
          <w:color w:val="auto"/>
          <w:sz w:val="44"/>
          <w:szCs w:val="44"/>
          <w:highlight w:val="none"/>
          <w:lang w:val="en-US" w:eastAsia="zh-CN"/>
        </w:rPr>
        <w:t>12</w:t>
      </w:r>
      <w:r>
        <w:rPr>
          <w:rFonts w:hint="eastAsia" w:ascii="宋体"/>
          <w:b/>
          <w:color w:val="auto"/>
          <w:sz w:val="44"/>
          <w:szCs w:val="44"/>
          <w:highlight w:val="none"/>
        </w:rPr>
        <w:t>月炉渣</w:t>
      </w:r>
      <w:r>
        <w:rPr>
          <w:rFonts w:hint="eastAsia" w:ascii="宋体"/>
          <w:b/>
          <w:color w:val="auto"/>
          <w:sz w:val="44"/>
          <w:szCs w:val="44"/>
          <w:highlight w:val="none"/>
          <w:lang w:val="en-US" w:eastAsia="zh-CN"/>
        </w:rPr>
        <w:t>综合利用</w:t>
      </w:r>
      <w:r>
        <w:rPr>
          <w:rFonts w:hint="eastAsia" w:ascii="宋体"/>
          <w:b/>
          <w:color w:val="auto"/>
          <w:sz w:val="44"/>
          <w:szCs w:val="44"/>
          <w:highlight w:val="none"/>
        </w:rPr>
        <w:t>项目</w:t>
      </w:r>
    </w:p>
    <w:p>
      <w:pPr>
        <w:snapToGrid w:val="0"/>
        <w:spacing w:line="480" w:lineRule="auto"/>
        <w:jc w:val="center"/>
        <w:rPr>
          <w:rFonts w:ascii="宋体"/>
          <w:b/>
          <w:color w:val="auto"/>
          <w:sz w:val="52"/>
          <w:szCs w:val="52"/>
          <w:highlight w:val="none"/>
        </w:rPr>
      </w:pPr>
      <w:r>
        <w:rPr>
          <w:rFonts w:hint="eastAsia" w:ascii="宋体"/>
          <w:b/>
          <w:color w:val="auto"/>
          <w:sz w:val="52"/>
          <w:szCs w:val="52"/>
          <w:highlight w:val="none"/>
        </w:rPr>
        <w:t>技术规范书</w:t>
      </w:r>
    </w:p>
    <w:p>
      <w:pPr>
        <w:spacing w:line="360" w:lineRule="auto"/>
        <w:rPr>
          <w:rFonts w:ascii="宋体"/>
          <w:b/>
          <w:color w:val="auto"/>
          <w:sz w:val="28"/>
          <w:highlight w:val="none"/>
        </w:rPr>
      </w:pPr>
    </w:p>
    <w:p>
      <w:pPr>
        <w:spacing w:line="360" w:lineRule="auto"/>
        <w:ind w:firstLine="2711" w:firstLineChars="900"/>
        <w:rPr>
          <w:color w:val="auto"/>
          <w:sz w:val="28"/>
          <w:highlight w:val="none"/>
        </w:rPr>
      </w:pPr>
      <w:r>
        <w:rPr>
          <w:rFonts w:hint="eastAsia" w:ascii="宋体" w:hAnsi="宋体"/>
          <w:b/>
          <w:bCs/>
          <w:color w:val="auto"/>
          <w:sz w:val="30"/>
          <w:highlight w:val="none"/>
        </w:rPr>
        <w:t xml:space="preserve">编制：           日期：  </w:t>
      </w:r>
    </w:p>
    <w:p>
      <w:pPr>
        <w:spacing w:line="360" w:lineRule="auto"/>
        <w:ind w:right="-82"/>
        <w:jc w:val="center"/>
        <w:rPr>
          <w:rFonts w:hint="eastAsia" w:ascii="宋体" w:hAnsi="宋体"/>
          <w:b/>
          <w:bCs/>
          <w:color w:val="auto"/>
          <w:sz w:val="30"/>
          <w:highlight w:val="none"/>
        </w:rPr>
      </w:pPr>
    </w:p>
    <w:p>
      <w:pPr>
        <w:spacing w:line="360" w:lineRule="auto"/>
        <w:ind w:right="-82" w:firstLine="2711" w:firstLineChars="900"/>
        <w:rPr>
          <w:rFonts w:hint="eastAsia" w:ascii="宋体" w:hAnsi="宋体"/>
          <w:b/>
          <w:bCs/>
          <w:color w:val="auto"/>
          <w:sz w:val="30"/>
          <w:highlight w:val="none"/>
        </w:rPr>
      </w:pPr>
      <w:r>
        <w:rPr>
          <w:rFonts w:hint="eastAsia" w:ascii="宋体" w:hAnsi="宋体"/>
          <w:b/>
          <w:bCs/>
          <w:color w:val="auto"/>
          <w:sz w:val="30"/>
          <w:highlight w:val="none"/>
        </w:rPr>
        <w:t>初审：           日期：</w:t>
      </w:r>
    </w:p>
    <w:p>
      <w:pPr>
        <w:spacing w:line="360" w:lineRule="auto"/>
        <w:ind w:right="-82" w:firstLine="2711" w:firstLineChars="900"/>
        <w:rPr>
          <w:rFonts w:hint="eastAsia" w:ascii="宋体" w:hAnsi="宋体"/>
          <w:b/>
          <w:bCs/>
          <w:color w:val="auto"/>
          <w:sz w:val="30"/>
          <w:highlight w:val="none"/>
        </w:rPr>
      </w:pPr>
    </w:p>
    <w:p>
      <w:pPr>
        <w:spacing w:line="360" w:lineRule="auto"/>
        <w:ind w:right="-82" w:firstLine="2711" w:firstLineChars="900"/>
        <w:rPr>
          <w:rFonts w:hint="eastAsia" w:ascii="宋体" w:hAnsi="宋体"/>
          <w:b/>
          <w:bCs/>
          <w:color w:val="auto"/>
          <w:sz w:val="30"/>
          <w:highlight w:val="none"/>
        </w:rPr>
      </w:pPr>
      <w:r>
        <w:rPr>
          <w:rFonts w:hint="eastAsia" w:ascii="宋体" w:hAnsi="宋体"/>
          <w:b/>
          <w:bCs/>
          <w:color w:val="auto"/>
          <w:sz w:val="30"/>
          <w:highlight w:val="none"/>
        </w:rPr>
        <w:t>审核：           日期：</w:t>
      </w:r>
    </w:p>
    <w:p>
      <w:pPr>
        <w:spacing w:line="360" w:lineRule="auto"/>
        <w:ind w:right="-82"/>
        <w:jc w:val="center"/>
        <w:rPr>
          <w:rFonts w:hint="eastAsia" w:ascii="宋体" w:hAnsi="宋体"/>
          <w:b/>
          <w:bCs/>
          <w:color w:val="auto"/>
          <w:sz w:val="30"/>
          <w:highlight w:val="none"/>
        </w:rPr>
      </w:pPr>
    </w:p>
    <w:p>
      <w:pPr>
        <w:spacing w:line="360" w:lineRule="auto"/>
        <w:ind w:right="-82" w:firstLine="2711" w:firstLineChars="900"/>
        <w:rPr>
          <w:rFonts w:hint="eastAsia" w:ascii="宋体" w:hAnsi="宋体"/>
          <w:b/>
          <w:bCs/>
          <w:color w:val="auto"/>
          <w:sz w:val="30"/>
          <w:highlight w:val="none"/>
        </w:rPr>
      </w:pPr>
      <w:r>
        <w:rPr>
          <w:rFonts w:hint="eastAsia" w:ascii="宋体" w:hAnsi="宋体"/>
          <w:b/>
          <w:bCs/>
          <w:color w:val="auto"/>
          <w:sz w:val="30"/>
          <w:highlight w:val="none"/>
        </w:rPr>
        <w:t>批准：           日期：</w:t>
      </w:r>
    </w:p>
    <w:p>
      <w:pPr>
        <w:spacing w:line="360" w:lineRule="auto"/>
        <w:ind w:right="-82"/>
        <w:rPr>
          <w:rFonts w:hint="eastAsia" w:ascii="宋体" w:hAnsi="宋体"/>
          <w:b/>
          <w:bCs/>
          <w:color w:val="auto"/>
          <w:sz w:val="30"/>
          <w:highlight w:val="none"/>
        </w:rPr>
      </w:pPr>
    </w:p>
    <w:p>
      <w:pPr>
        <w:spacing w:line="360" w:lineRule="auto"/>
        <w:ind w:right="-82"/>
        <w:rPr>
          <w:rFonts w:hint="eastAsia" w:ascii="宋体" w:hAnsi="宋体"/>
          <w:b/>
          <w:bCs/>
          <w:color w:val="auto"/>
          <w:sz w:val="30"/>
          <w:highlight w:val="none"/>
        </w:rPr>
      </w:pPr>
    </w:p>
    <w:p>
      <w:pPr>
        <w:spacing w:line="360" w:lineRule="auto"/>
        <w:ind w:right="-82"/>
        <w:rPr>
          <w:rFonts w:hint="eastAsia" w:ascii="宋体" w:hAnsi="宋体"/>
          <w:b/>
          <w:bCs/>
          <w:color w:val="auto"/>
          <w:sz w:val="30"/>
          <w:highlight w:val="none"/>
        </w:rPr>
      </w:pPr>
    </w:p>
    <w:p>
      <w:pPr>
        <w:spacing w:line="360" w:lineRule="auto"/>
        <w:ind w:right="-82"/>
        <w:jc w:val="center"/>
        <w:rPr>
          <w:rFonts w:hint="eastAsia" w:ascii="宋体" w:hAnsi="宋体"/>
          <w:b/>
          <w:bCs/>
          <w:color w:val="auto"/>
          <w:sz w:val="30"/>
          <w:highlight w:val="none"/>
        </w:rPr>
      </w:pPr>
    </w:p>
    <w:p>
      <w:pPr>
        <w:spacing w:line="360" w:lineRule="auto"/>
        <w:jc w:val="center"/>
        <w:outlineLvl w:val="0"/>
        <w:rPr>
          <w:rFonts w:hint="eastAsia" w:ascii="宋体"/>
          <w:b/>
          <w:color w:val="auto"/>
          <w:sz w:val="32"/>
          <w:highlight w:val="none"/>
        </w:rPr>
      </w:pPr>
    </w:p>
    <w:p>
      <w:pPr>
        <w:spacing w:line="360" w:lineRule="auto"/>
        <w:jc w:val="center"/>
        <w:outlineLvl w:val="0"/>
        <w:rPr>
          <w:rFonts w:ascii="宋体"/>
          <w:b/>
          <w:color w:val="auto"/>
          <w:sz w:val="32"/>
          <w:highlight w:val="none"/>
        </w:rPr>
      </w:pPr>
      <w:r>
        <w:rPr>
          <w:rFonts w:hint="eastAsia" w:ascii="宋体"/>
          <w:b/>
          <w:color w:val="auto"/>
          <w:sz w:val="32"/>
          <w:highlight w:val="none"/>
        </w:rPr>
        <w:tab/>
      </w:r>
    </w:p>
    <w:p>
      <w:pPr>
        <w:adjustRightInd w:val="0"/>
        <w:spacing w:line="360" w:lineRule="auto"/>
        <w:jc w:val="center"/>
        <w:rPr>
          <w:rFonts w:hint="eastAsia" w:ascii="宋体"/>
          <w:b/>
          <w:color w:val="auto"/>
          <w:sz w:val="32"/>
          <w:szCs w:val="32"/>
          <w:highlight w:val="none"/>
        </w:rPr>
      </w:pPr>
      <w:r>
        <w:rPr>
          <w:rFonts w:hint="eastAsia" w:ascii="宋体"/>
          <w:b/>
          <w:color w:val="auto"/>
          <w:sz w:val="32"/>
          <w:szCs w:val="32"/>
          <w:highlight w:val="none"/>
        </w:rPr>
        <w:t>2025年</w:t>
      </w:r>
      <w:r>
        <w:rPr>
          <w:rFonts w:hint="eastAsia" w:ascii="宋体"/>
          <w:b/>
          <w:color w:val="auto"/>
          <w:sz w:val="32"/>
          <w:szCs w:val="32"/>
          <w:highlight w:val="none"/>
          <w:lang w:val="en-US" w:eastAsia="zh-CN"/>
        </w:rPr>
        <w:t>12</w:t>
      </w:r>
      <w:r>
        <w:rPr>
          <w:rFonts w:hint="eastAsia" w:ascii="宋体"/>
          <w:b/>
          <w:color w:val="auto"/>
          <w:sz w:val="32"/>
          <w:szCs w:val="32"/>
          <w:highlight w:val="none"/>
        </w:rPr>
        <w:t>月</w:t>
      </w:r>
    </w:p>
    <w:p>
      <w:pPr>
        <w:adjustRightInd w:val="0"/>
        <w:spacing w:line="360" w:lineRule="auto"/>
        <w:jc w:val="center"/>
        <w:rPr>
          <w:rFonts w:hint="eastAsia" w:ascii="宋体"/>
          <w:b/>
          <w:color w:val="auto"/>
          <w:sz w:val="32"/>
          <w:szCs w:val="32"/>
          <w:highlight w:val="none"/>
        </w:rPr>
      </w:pPr>
    </w:p>
    <w:p>
      <w:pPr>
        <w:adjustRightInd w:val="0"/>
        <w:spacing w:line="360" w:lineRule="auto"/>
        <w:jc w:val="center"/>
        <w:rPr>
          <w:rFonts w:hint="eastAsia" w:ascii="宋体"/>
          <w:b/>
          <w:color w:val="auto"/>
          <w:sz w:val="32"/>
          <w:szCs w:val="32"/>
          <w:highlight w:val="none"/>
        </w:rPr>
      </w:pPr>
    </w:p>
    <w:p>
      <w:pPr>
        <w:adjustRightInd w:val="0"/>
        <w:snapToGrid w:val="0"/>
        <w:spacing w:line="360" w:lineRule="auto"/>
        <w:rPr>
          <w:rFonts w:hint="eastAsia" w:ascii="宋体" w:hAnsi="宋体" w:cs="宋体"/>
          <w:b/>
          <w:bCs/>
          <w:color w:val="auto"/>
          <w:sz w:val="32"/>
          <w:szCs w:val="32"/>
          <w:highlight w:val="none"/>
        </w:rPr>
      </w:pPr>
      <w:r>
        <w:rPr>
          <w:rFonts w:hint="eastAsia" w:ascii="宋体" w:hAnsi="宋体" w:cs="宋体"/>
          <w:b/>
          <w:bCs/>
          <w:color w:val="auto"/>
          <w:sz w:val="32"/>
          <w:szCs w:val="32"/>
          <w:highlight w:val="none"/>
        </w:rPr>
        <w:t>1.总则</w:t>
      </w:r>
    </w:p>
    <w:p>
      <w:pPr>
        <w:adjustRightInd w:val="0"/>
        <w:snapToGrid w:val="0"/>
        <w:spacing w:line="360" w:lineRule="auto"/>
        <w:ind w:firstLine="480" w:firstLineChars="200"/>
        <w:rPr>
          <w:rFonts w:hint="eastAsia" w:ascii="宋体" w:hAnsi="宋体" w:cs="宋体"/>
          <w:color w:val="auto"/>
          <w:sz w:val="24"/>
          <w:highlight w:val="none"/>
        </w:rPr>
      </w:pPr>
      <w:r>
        <w:rPr>
          <w:rFonts w:hint="eastAsia" w:ascii="宋体" w:hAnsi="宋体"/>
          <w:color w:val="auto"/>
          <w:sz w:val="24"/>
          <w:highlight w:val="none"/>
          <w:shd w:val="clear"/>
        </w:rPr>
        <w:t>华能华苏太仓发电有限责任公司2台1000MW</w:t>
      </w:r>
      <w:bookmarkStart w:id="0" w:name="_Hlk198236913"/>
      <w:r>
        <w:rPr>
          <w:rFonts w:hint="eastAsia" w:ascii="宋体" w:hAnsi="宋体"/>
          <w:color w:val="auto"/>
          <w:sz w:val="24"/>
          <w:highlight w:val="none"/>
          <w:shd w:val="clear"/>
        </w:rPr>
        <w:t>超</w:t>
      </w:r>
      <w:bookmarkEnd w:id="0"/>
      <w:r>
        <w:rPr>
          <w:rFonts w:hint="eastAsia" w:ascii="宋体" w:hAnsi="宋体"/>
          <w:color w:val="auto"/>
          <w:sz w:val="24"/>
          <w:highlight w:val="none"/>
          <w:shd w:val="clear"/>
        </w:rPr>
        <w:t>超临界燃煤发电机组</w:t>
      </w:r>
      <w:r>
        <w:rPr>
          <w:rFonts w:hint="eastAsia" w:ascii="宋体" w:hAnsi="宋体"/>
          <w:color w:val="auto"/>
          <w:sz w:val="24"/>
          <w:highlight w:val="none"/>
          <w:shd w:val="clear"/>
          <w:lang w:eastAsia="zh-CN"/>
        </w:rPr>
        <w:t>，</w:t>
      </w:r>
      <w:r>
        <w:rPr>
          <w:rFonts w:hint="eastAsia" w:ascii="宋体" w:hAnsi="宋体"/>
          <w:color w:val="auto"/>
          <w:sz w:val="24"/>
          <w:highlight w:val="none"/>
          <w:shd w:val="clear"/>
        </w:rPr>
        <w:t>设有2座渣仓，每台机组设有1个渣仓、炉渣形态为干渣。</w:t>
      </w:r>
    </w:p>
    <w:p>
      <w:pPr>
        <w:adjustRightInd w:val="0"/>
        <w:snapToGrid w:val="0"/>
        <w:spacing w:line="360" w:lineRule="auto"/>
        <w:rPr>
          <w:rFonts w:hint="eastAsia" w:ascii="宋体" w:hAnsi="宋体" w:cs="宋体"/>
          <w:b/>
          <w:bCs/>
          <w:color w:val="auto"/>
          <w:sz w:val="32"/>
          <w:szCs w:val="32"/>
          <w:highlight w:val="none"/>
        </w:rPr>
      </w:pPr>
      <w:r>
        <w:rPr>
          <w:rFonts w:hint="eastAsia" w:ascii="宋体" w:hAnsi="宋体" w:cs="宋体"/>
          <w:b/>
          <w:bCs/>
          <w:color w:val="auto"/>
          <w:sz w:val="32"/>
          <w:szCs w:val="32"/>
          <w:highlight w:val="none"/>
        </w:rPr>
        <w:t>2.项目范围</w:t>
      </w:r>
    </w:p>
    <w:p>
      <w:pPr>
        <w:rPr>
          <w:color w:val="auto"/>
          <w:sz w:val="24"/>
          <w:highlight w:val="none"/>
        </w:rPr>
      </w:pPr>
      <w:r>
        <w:rPr>
          <w:rFonts w:hint="eastAsia"/>
          <w:color w:val="auto"/>
          <w:sz w:val="24"/>
          <w:highlight w:val="none"/>
        </w:rPr>
        <w:t>2.1工作范围</w:t>
      </w:r>
    </w:p>
    <w:p>
      <w:pPr>
        <w:spacing w:line="360" w:lineRule="auto"/>
        <w:ind w:firstLine="480" w:firstLineChars="200"/>
        <w:rPr>
          <w:rFonts w:hint="eastAsia" w:ascii="宋体" w:hAnsi="宋体"/>
          <w:color w:val="auto"/>
          <w:sz w:val="24"/>
          <w:highlight w:val="none"/>
        </w:rPr>
      </w:pPr>
      <w:r>
        <w:rPr>
          <w:rFonts w:hint="eastAsia" w:ascii="宋体" w:hAnsi="宋体"/>
          <w:color w:val="auto"/>
          <w:sz w:val="24"/>
          <w:highlight w:val="none"/>
        </w:rPr>
        <w:t>本项目为场存炉渣</w:t>
      </w:r>
      <w:r>
        <w:rPr>
          <w:rFonts w:hint="eastAsia" w:ascii="宋体" w:hAnsi="宋体"/>
          <w:color w:val="auto"/>
          <w:sz w:val="24"/>
          <w:highlight w:val="none"/>
          <w:lang w:val="en-US" w:eastAsia="zh-CN"/>
        </w:rPr>
        <w:t>综合利用</w:t>
      </w:r>
      <w:r>
        <w:rPr>
          <w:rFonts w:hint="eastAsia" w:ascii="宋体" w:hAnsi="宋体"/>
          <w:color w:val="auto"/>
          <w:sz w:val="24"/>
          <w:highlight w:val="none"/>
        </w:rPr>
        <w:t>，投标方负责将炉渣外运，采用陆运(水运)外运方式，并综合利用。</w:t>
      </w:r>
    </w:p>
    <w:p>
      <w:pPr>
        <w:rPr>
          <w:color w:val="auto"/>
          <w:sz w:val="24"/>
          <w:highlight w:val="none"/>
        </w:rPr>
      </w:pPr>
      <w:r>
        <w:rPr>
          <w:rFonts w:hint="eastAsia"/>
          <w:color w:val="auto"/>
          <w:sz w:val="24"/>
          <w:highlight w:val="none"/>
        </w:rPr>
        <w:t>2.2工作内容</w:t>
      </w:r>
    </w:p>
    <w:p>
      <w:pPr>
        <w:spacing w:line="360" w:lineRule="auto"/>
        <w:ind w:firstLine="480" w:firstLineChars="200"/>
        <w:rPr>
          <w:rFonts w:hint="eastAsia" w:ascii="宋体" w:hAnsi="宋体"/>
          <w:color w:val="auto"/>
          <w:sz w:val="24"/>
          <w:highlight w:val="none"/>
        </w:rPr>
      </w:pPr>
      <w:r>
        <w:rPr>
          <w:rFonts w:hint="eastAsia" w:ascii="宋体" w:hAnsi="宋体"/>
          <w:color w:val="auto"/>
          <w:sz w:val="24"/>
          <w:highlight w:val="none"/>
        </w:rPr>
        <w:t>负责</w:t>
      </w:r>
      <w:bookmarkStart w:id="1" w:name="_GoBack"/>
      <w:r>
        <w:rPr>
          <w:rFonts w:hint="eastAsia" w:ascii="宋体" w:hAnsi="宋体"/>
          <w:color w:val="auto"/>
          <w:sz w:val="24"/>
          <w:highlight w:val="none"/>
        </w:rPr>
        <w:t>电厂临时堆放场地及</w:t>
      </w:r>
      <w:r>
        <w:rPr>
          <w:rFonts w:hint="eastAsia" w:ascii="宋体" w:hAnsi="宋体"/>
          <w:color w:val="auto"/>
          <w:sz w:val="24"/>
          <w:highlight w:val="none"/>
          <w:lang w:val="en-US" w:eastAsia="zh-CN"/>
        </w:rPr>
        <w:t>6</w:t>
      </w:r>
      <w:r>
        <w:rPr>
          <w:rFonts w:hint="eastAsia" w:ascii="宋体" w:hAnsi="宋体"/>
          <w:color w:val="auto"/>
          <w:sz w:val="24"/>
          <w:highlight w:val="none"/>
        </w:rPr>
        <w:t>台机组生产过程中产</w:t>
      </w:r>
      <w:bookmarkEnd w:id="1"/>
      <w:r>
        <w:rPr>
          <w:rFonts w:hint="eastAsia" w:ascii="宋体" w:hAnsi="宋体"/>
          <w:color w:val="auto"/>
          <w:sz w:val="24"/>
          <w:highlight w:val="none"/>
        </w:rPr>
        <w:t>生的炉渣的处置服务工作。投标方负责运输等过程中的安全、环保、文明卫生，并最终实现综合利用。</w:t>
      </w:r>
    </w:p>
    <w:p>
      <w:pPr>
        <w:spacing w:line="360" w:lineRule="auto"/>
        <w:ind w:firstLine="480" w:firstLineChars="200"/>
        <w:rPr>
          <w:rFonts w:hint="eastAsia" w:ascii="宋体" w:hAnsi="宋体"/>
          <w:color w:val="auto"/>
          <w:sz w:val="24"/>
          <w:highlight w:val="none"/>
        </w:rPr>
      </w:pPr>
      <w:r>
        <w:rPr>
          <w:rFonts w:hint="eastAsia" w:ascii="宋体" w:hAnsi="宋体" w:cs="宋体"/>
          <w:color w:val="auto"/>
          <w:sz w:val="24"/>
          <w:highlight w:val="none"/>
        </w:rPr>
        <w:t>本项目</w:t>
      </w:r>
      <w:r>
        <w:rPr>
          <w:rFonts w:hint="eastAsia" w:ascii="宋体" w:hAnsi="宋体" w:cs="宋体"/>
          <w:color w:val="auto"/>
          <w:sz w:val="24"/>
          <w:highlight w:val="none"/>
          <w:lang w:val="en-US" w:eastAsia="zh-CN"/>
        </w:rPr>
        <w:t>预估数量26000吨</w:t>
      </w:r>
      <w:r>
        <w:rPr>
          <w:rFonts w:hint="eastAsia" w:ascii="宋体" w:hAnsi="宋体" w:cs="宋体"/>
          <w:color w:val="auto"/>
          <w:sz w:val="24"/>
          <w:highlight w:val="none"/>
        </w:rPr>
        <w:t>。</w:t>
      </w:r>
    </w:p>
    <w:p>
      <w:pPr>
        <w:spacing w:line="360" w:lineRule="auto"/>
        <w:ind w:firstLine="480" w:firstLineChars="200"/>
        <w:rPr>
          <w:rFonts w:hint="eastAsia" w:ascii="宋体" w:hAnsi="宋体"/>
          <w:b/>
          <w:bCs/>
          <w:color w:val="auto"/>
          <w:sz w:val="24"/>
          <w:highlight w:val="none"/>
        </w:rPr>
      </w:pPr>
      <w:r>
        <w:rPr>
          <w:rFonts w:hint="eastAsia" w:ascii="宋体" w:hAnsi="宋体"/>
          <w:color w:val="auto"/>
          <w:sz w:val="24"/>
          <w:highlight w:val="none"/>
        </w:rPr>
        <w:t>本项目周期为：</w:t>
      </w:r>
      <w:r>
        <w:rPr>
          <w:rFonts w:hint="eastAsia" w:ascii="宋体" w:hAnsi="宋体"/>
          <w:b/>
          <w:bCs/>
          <w:color w:val="auto"/>
          <w:sz w:val="24"/>
          <w:highlight w:val="none"/>
          <w:lang w:val="en-US" w:eastAsia="zh-CN"/>
        </w:rPr>
        <w:t>2025年12月1日</w:t>
      </w:r>
      <w:r>
        <w:rPr>
          <w:rFonts w:hint="eastAsia" w:ascii="宋体" w:hAnsi="宋体"/>
          <w:b/>
          <w:bCs/>
          <w:color w:val="auto"/>
          <w:sz w:val="24"/>
          <w:highlight w:val="none"/>
        </w:rPr>
        <w:t>至</w:t>
      </w:r>
      <w:r>
        <w:rPr>
          <w:rFonts w:hint="eastAsia" w:ascii="宋体" w:hAnsi="宋体"/>
          <w:b/>
          <w:bCs/>
          <w:color w:val="auto"/>
          <w:sz w:val="24"/>
          <w:highlight w:val="none"/>
          <w:lang w:val="en-US" w:eastAsia="zh-CN"/>
        </w:rPr>
        <w:t>2025年12月31日</w:t>
      </w:r>
      <w:r>
        <w:rPr>
          <w:rFonts w:hint="eastAsia" w:ascii="宋体" w:hAnsi="宋体"/>
          <w:b/>
          <w:bCs/>
          <w:color w:val="auto"/>
          <w:sz w:val="24"/>
          <w:highlight w:val="none"/>
        </w:rPr>
        <w:t>。</w:t>
      </w:r>
    </w:p>
    <w:p>
      <w:pPr>
        <w:adjustRightInd w:val="0"/>
        <w:spacing w:line="360" w:lineRule="auto"/>
        <w:ind w:firstLine="480" w:firstLineChars="200"/>
        <w:rPr>
          <w:rFonts w:hint="eastAsia" w:ascii="宋体" w:hAnsi="宋体"/>
          <w:color w:val="auto"/>
          <w:sz w:val="24"/>
          <w:highlight w:val="none"/>
        </w:rPr>
      </w:pPr>
      <w:r>
        <w:rPr>
          <w:rFonts w:hint="eastAsia" w:ascii="宋体" w:hAnsi="宋体"/>
          <w:color w:val="auto"/>
          <w:sz w:val="24"/>
          <w:highlight w:val="none"/>
        </w:rPr>
        <w:t>以招标方电子汽车衡称重计量作为结算依据。</w:t>
      </w:r>
      <w:r>
        <w:rPr>
          <w:rFonts w:hint="eastAsia" w:ascii="宋体" w:hAnsi="宋体"/>
          <w:color w:val="auto"/>
          <w:sz w:val="24"/>
          <w:highlight w:val="none"/>
          <w:lang w:val="en-US" w:eastAsia="zh-CN"/>
        </w:rPr>
        <w:t>招标价格包括炉渣码头中转服务费</w:t>
      </w:r>
      <w:r>
        <w:rPr>
          <w:rFonts w:hint="eastAsia" w:ascii="宋体" w:hAnsi="宋体"/>
          <w:color w:val="auto"/>
          <w:sz w:val="24"/>
          <w:highlight w:val="none"/>
          <w:lang w:eastAsia="zh-CN"/>
        </w:rPr>
        <w:t>，</w:t>
      </w:r>
      <w:r>
        <w:rPr>
          <w:rFonts w:hint="eastAsia" w:ascii="宋体" w:hAnsi="宋体"/>
          <w:color w:val="auto"/>
          <w:sz w:val="24"/>
          <w:highlight w:val="none"/>
        </w:rPr>
        <w:t>炉渣由中标单位自提，装车时间为每天8:00-16:00。</w:t>
      </w:r>
    </w:p>
    <w:p>
      <w:pPr>
        <w:adjustRightInd w:val="0"/>
        <w:spacing w:line="360" w:lineRule="auto"/>
        <w:ind w:firstLine="480" w:firstLineChars="200"/>
        <w:rPr>
          <w:rFonts w:hint="eastAsia" w:ascii="宋体" w:hAnsi="宋体"/>
          <w:color w:val="auto"/>
          <w:sz w:val="24"/>
          <w:highlight w:val="none"/>
        </w:rPr>
      </w:pPr>
    </w:p>
    <w:p>
      <w:pPr>
        <w:adjustRightInd w:val="0"/>
        <w:snapToGrid w:val="0"/>
        <w:spacing w:line="360" w:lineRule="auto"/>
        <w:rPr>
          <w:rFonts w:hint="eastAsia" w:ascii="宋体" w:hAnsi="宋体" w:cs="宋体"/>
          <w:b/>
          <w:bCs/>
          <w:color w:val="auto"/>
          <w:sz w:val="32"/>
          <w:szCs w:val="32"/>
          <w:highlight w:val="none"/>
        </w:rPr>
      </w:pPr>
      <w:r>
        <w:rPr>
          <w:rFonts w:hint="eastAsia" w:ascii="宋体" w:hAnsi="宋体" w:cs="宋体"/>
          <w:b/>
          <w:bCs/>
          <w:color w:val="auto"/>
          <w:sz w:val="32"/>
          <w:szCs w:val="32"/>
          <w:highlight w:val="none"/>
        </w:rPr>
        <w:t>3.双方责任</w:t>
      </w:r>
    </w:p>
    <w:p>
      <w:pPr>
        <w:adjustRightInd w:val="0"/>
        <w:spacing w:line="360" w:lineRule="auto"/>
        <w:ind w:firstLine="480" w:firstLineChars="200"/>
        <w:rPr>
          <w:rFonts w:hint="eastAsia" w:ascii="宋体" w:hAnsi="宋体"/>
          <w:color w:val="auto"/>
          <w:sz w:val="24"/>
          <w:highlight w:val="none"/>
        </w:rPr>
      </w:pPr>
      <w:r>
        <w:rPr>
          <w:rFonts w:hint="eastAsia" w:ascii="宋体" w:hAnsi="宋体"/>
          <w:color w:val="auto"/>
          <w:sz w:val="24"/>
          <w:highlight w:val="none"/>
        </w:rPr>
        <w:t>3.1投标人应具备承包本项目的资质，设置独立的项目组织机构，接受招标人监督。</w:t>
      </w:r>
    </w:p>
    <w:p>
      <w:pPr>
        <w:adjustRightInd w:val="0"/>
        <w:spacing w:line="360" w:lineRule="auto"/>
        <w:ind w:firstLine="480" w:firstLineChars="200"/>
        <w:rPr>
          <w:rFonts w:hint="eastAsia" w:ascii="宋体" w:hAnsi="宋体"/>
          <w:color w:val="auto"/>
          <w:sz w:val="24"/>
          <w:highlight w:val="none"/>
        </w:rPr>
      </w:pPr>
      <w:r>
        <w:rPr>
          <w:rFonts w:hint="eastAsia" w:ascii="宋体" w:hAnsi="宋体"/>
          <w:color w:val="auto"/>
          <w:sz w:val="24"/>
          <w:highlight w:val="none"/>
        </w:rPr>
        <w:t>3.2投标人应与该项目的所有用工人员按规定签订劳动合同，购买相应的意外保险；该外包项目合同协议履行过程中，发生的一切用工方面的劳动人资纠纷和政府用工人资政策调整均与招标人无关。</w:t>
      </w:r>
    </w:p>
    <w:p>
      <w:pPr>
        <w:adjustRightInd w:val="0"/>
        <w:spacing w:line="360" w:lineRule="auto"/>
        <w:ind w:firstLine="480" w:firstLineChars="200"/>
        <w:rPr>
          <w:rFonts w:hint="eastAsia" w:ascii="宋体" w:hAnsi="宋体"/>
          <w:color w:val="auto"/>
          <w:sz w:val="24"/>
          <w:highlight w:val="none"/>
        </w:rPr>
      </w:pPr>
      <w:r>
        <w:rPr>
          <w:rFonts w:hint="eastAsia" w:ascii="宋体" w:hAnsi="宋体"/>
          <w:color w:val="auto"/>
          <w:sz w:val="24"/>
          <w:highlight w:val="none"/>
        </w:rPr>
        <w:t>3.3投标人应严格按照国家有关安全操作规程进行安全文明作业，对投标人人员的日常安全教育、安全管理负责，定期组织项目员工开展技能及安全生产培训，并接受招标人监督指导。投标人人员在承包工作中发生一切安全、人身事故，其事故责任全部由投标人承担，并由投标人自行统计上报，自行独立处理善后工作并承担全部费用。</w:t>
      </w:r>
    </w:p>
    <w:p>
      <w:pPr>
        <w:spacing w:before="120" w:line="360" w:lineRule="auto"/>
        <w:ind w:firstLine="480" w:firstLineChars="200"/>
        <w:rPr>
          <w:rFonts w:hint="eastAsia" w:ascii="宋体" w:hAnsi="宋体"/>
          <w:color w:val="auto"/>
          <w:sz w:val="24"/>
          <w:highlight w:val="none"/>
        </w:rPr>
      </w:pPr>
      <w:r>
        <w:rPr>
          <w:rFonts w:hint="eastAsia" w:ascii="宋体" w:hAnsi="宋体"/>
          <w:color w:val="auto"/>
          <w:sz w:val="24"/>
          <w:highlight w:val="none"/>
        </w:rPr>
        <w:t>3.4中标单位需安排专人提供炉渣的综合利用终端用户情况，配合招标人完成法律法规及环保部门要求的源头追溯等辅助工作；负责炉渣外运日常统计工作，并配合做好其他辅助性工作。</w:t>
      </w:r>
    </w:p>
    <w:p>
      <w:pPr>
        <w:snapToGrid w:val="0"/>
        <w:spacing w:line="360" w:lineRule="auto"/>
        <w:ind w:firstLine="480" w:firstLineChars="200"/>
        <w:rPr>
          <w:rFonts w:hint="eastAsia" w:ascii="宋体" w:hAnsi="宋体" w:cs="宋体"/>
          <w:color w:val="auto"/>
          <w:sz w:val="24"/>
          <w:highlight w:val="none"/>
        </w:rPr>
      </w:pPr>
      <w:r>
        <w:rPr>
          <w:rFonts w:hint="eastAsia" w:ascii="宋体" w:hAnsi="宋体" w:cs="宋体"/>
          <w:color w:val="auto"/>
          <w:sz w:val="24"/>
          <w:highlight w:val="none"/>
        </w:rPr>
        <w:t>3.5为了认真执行国家环境保护法律法规和标准，贯彻“预防为主、防治结合”的环保方针，投标方在招标方处外运的炉渣用途均为综合利用，综合利用率为100%，并保证终端客户（水泥企业、商砼企业、建筑板材企业等）的综合利用满足国家和地方环保政策和规定。</w:t>
      </w:r>
    </w:p>
    <w:p>
      <w:pPr>
        <w:snapToGrid w:val="0"/>
        <w:spacing w:line="360" w:lineRule="auto"/>
        <w:ind w:firstLine="480" w:firstLineChars="200"/>
        <w:rPr>
          <w:rFonts w:hint="eastAsia" w:ascii="宋体" w:hAnsi="宋体" w:cs="宋体"/>
          <w:color w:val="auto"/>
          <w:sz w:val="24"/>
          <w:highlight w:val="none"/>
        </w:rPr>
      </w:pPr>
      <w:r>
        <w:rPr>
          <w:rFonts w:hint="eastAsia" w:ascii="宋体" w:hAnsi="宋体" w:cs="宋体"/>
          <w:color w:val="auto"/>
          <w:sz w:val="24"/>
          <w:highlight w:val="none"/>
        </w:rPr>
        <w:t>3.6投标方在炉渣运输过程中，应严格遵守国家《环境保护法》等法律、法规、规程、规范、标准和江苏省发布的《</w:t>
      </w:r>
      <w:r>
        <w:rPr>
          <w:rFonts w:hint="eastAsia" w:ascii="宋体" w:hAnsi="宋体" w:cs="宋体"/>
          <w:color w:val="auto"/>
          <w:sz w:val="24"/>
          <w:highlight w:val="none"/>
          <w:shd w:val="clear" w:color="auto" w:fill="FFFFFF"/>
        </w:rPr>
        <w:t>江苏省大气污染防治条例</w:t>
      </w:r>
      <w:r>
        <w:rPr>
          <w:rFonts w:hint="eastAsia" w:ascii="宋体" w:hAnsi="宋体" w:cs="宋体"/>
          <w:color w:val="auto"/>
          <w:sz w:val="24"/>
          <w:highlight w:val="none"/>
        </w:rPr>
        <w:t>》。必须严格遵守招标方依法制定的环境保护管理各项规章制度和办法，加强自身管理，认真履行自身的责任、权利和义务。</w:t>
      </w:r>
    </w:p>
    <w:p>
      <w:pPr>
        <w:snapToGrid w:val="0"/>
        <w:spacing w:line="360" w:lineRule="auto"/>
        <w:ind w:firstLine="480" w:firstLineChars="200"/>
        <w:rPr>
          <w:rFonts w:hint="eastAsia" w:ascii="宋体" w:hAnsi="宋体" w:cs="宋体"/>
          <w:color w:val="auto"/>
          <w:sz w:val="24"/>
          <w:highlight w:val="none"/>
        </w:rPr>
      </w:pPr>
      <w:r>
        <w:rPr>
          <w:rFonts w:hint="eastAsia" w:ascii="宋体" w:hAnsi="宋体" w:cs="宋体"/>
          <w:color w:val="auto"/>
          <w:sz w:val="24"/>
          <w:highlight w:val="none"/>
        </w:rPr>
        <w:t>3.7招标方有权对投标方在运输过程及终端使用中遵守环境保护法律法规和落实环保措施的情况进行监督、管理和检查、指导，制止投标方违反环境保护法律、法规的行为，并采取包括罚款、取消投标方资格等处罚。</w:t>
      </w:r>
    </w:p>
    <w:p>
      <w:pPr>
        <w:snapToGrid w:val="0"/>
        <w:spacing w:line="360" w:lineRule="auto"/>
        <w:ind w:firstLine="480" w:firstLineChars="200"/>
        <w:rPr>
          <w:rFonts w:hint="eastAsia" w:ascii="宋体" w:hAnsi="宋体" w:cs="宋体"/>
          <w:color w:val="auto"/>
          <w:sz w:val="24"/>
          <w:highlight w:val="none"/>
        </w:rPr>
      </w:pPr>
      <w:r>
        <w:rPr>
          <w:rFonts w:hint="eastAsia" w:ascii="宋体" w:hAnsi="宋体" w:cs="宋体"/>
          <w:color w:val="auto"/>
          <w:sz w:val="24"/>
          <w:highlight w:val="none"/>
        </w:rPr>
        <w:t>3.8投标方运输车辆的排放要求必须满足国四（含国四）以上排放标准车辆或新能源车辆。投标方进入招标方生产作业区的车辆必须是环保型车辆（车辆装有防尘设施），防止沿途遗洒或扬尘，造成二次污染。</w:t>
      </w:r>
    </w:p>
    <w:p>
      <w:pPr>
        <w:snapToGrid w:val="0"/>
        <w:spacing w:line="360" w:lineRule="auto"/>
        <w:ind w:firstLine="480" w:firstLineChars="200"/>
        <w:rPr>
          <w:rFonts w:hint="eastAsia" w:ascii="宋体" w:hAnsi="宋体" w:cs="宋体"/>
          <w:color w:val="auto"/>
          <w:sz w:val="24"/>
          <w:highlight w:val="none"/>
        </w:rPr>
      </w:pPr>
      <w:r>
        <w:rPr>
          <w:rFonts w:hint="eastAsia" w:ascii="宋体" w:hAnsi="宋体" w:cs="宋体"/>
          <w:color w:val="auto"/>
          <w:sz w:val="24"/>
          <w:highlight w:val="none"/>
        </w:rPr>
        <w:t>3.9如运输车辆环保要求未落实或未关盖导致炉渣洒落地面时，投标方应立即采取措施对路面进行保洁工作。</w:t>
      </w:r>
    </w:p>
    <w:p>
      <w:pPr>
        <w:overflowPunct w:val="0"/>
        <w:adjustRightInd w:val="0"/>
        <w:snapToGrid w:val="0"/>
        <w:spacing w:line="360" w:lineRule="auto"/>
        <w:ind w:firstLine="480" w:firstLineChars="200"/>
        <w:rPr>
          <w:rFonts w:hint="eastAsia" w:ascii="宋体" w:hAnsi="宋体" w:cs="宋体"/>
          <w:color w:val="auto"/>
          <w:sz w:val="24"/>
          <w:highlight w:val="none"/>
        </w:rPr>
      </w:pPr>
      <w:r>
        <w:rPr>
          <w:rFonts w:hint="eastAsia" w:ascii="宋体" w:hAnsi="宋体" w:cs="宋体"/>
          <w:color w:val="auto"/>
          <w:sz w:val="24"/>
          <w:highlight w:val="none"/>
        </w:rPr>
        <w:t>3.10驶入招标方现场的投标方运输车辆外表应保持整洁，不得有粉尘及泥土等洒落。如现场装运后需对车辆进行冲洗、刷罐，必须要在投标方允许的指定位置冲刷，冲洗结束后应立即关闭水源，节约用水。</w:t>
      </w:r>
    </w:p>
    <w:p>
      <w:pPr>
        <w:snapToGrid w:val="0"/>
        <w:spacing w:line="360" w:lineRule="auto"/>
        <w:ind w:firstLine="480" w:firstLineChars="200"/>
        <w:rPr>
          <w:rFonts w:hint="eastAsia" w:ascii="宋体" w:hAnsi="宋体" w:cs="宋体"/>
          <w:color w:val="auto"/>
          <w:sz w:val="24"/>
          <w:highlight w:val="none"/>
        </w:rPr>
      </w:pPr>
      <w:r>
        <w:rPr>
          <w:rFonts w:hint="eastAsia" w:ascii="宋体" w:hAnsi="宋体" w:cs="宋体"/>
          <w:color w:val="auto"/>
          <w:sz w:val="24"/>
          <w:highlight w:val="none"/>
        </w:rPr>
        <w:t>3.11因投标方责任存在环保问题不落实整改或整改不及时而受到政府有关部门处罚的，由投标方承担全部责任并承担由此造成的经济损失，同时招标方有权因声誉受到影响而给予投标方相应的经济处罚。</w:t>
      </w:r>
    </w:p>
    <w:p>
      <w:pPr>
        <w:snapToGrid w:val="0"/>
        <w:spacing w:line="360" w:lineRule="auto"/>
        <w:ind w:firstLine="480" w:firstLineChars="200"/>
        <w:rPr>
          <w:rFonts w:hint="eastAsia" w:ascii="宋体" w:hAnsi="宋体" w:cs="宋体"/>
          <w:color w:val="auto"/>
          <w:sz w:val="24"/>
          <w:highlight w:val="none"/>
        </w:rPr>
      </w:pPr>
      <w:r>
        <w:rPr>
          <w:rFonts w:hint="eastAsia" w:ascii="宋体" w:hAnsi="宋体" w:cs="宋体"/>
          <w:color w:val="auto"/>
          <w:sz w:val="24"/>
          <w:highlight w:val="none"/>
        </w:rPr>
        <w:t>3.12投标方在运输过程及终端使用中如发生环保事故及其他异常情况，除迅速处理外，应即时向招标方报告。造成严重后果者，移送国家司法机关法律责任。</w:t>
      </w:r>
    </w:p>
    <w:p>
      <w:pPr>
        <w:snapToGrid w:val="0"/>
        <w:spacing w:line="360" w:lineRule="auto"/>
        <w:ind w:firstLine="480" w:firstLineChars="200"/>
        <w:rPr>
          <w:rFonts w:hint="eastAsia" w:ascii="宋体" w:hAnsi="宋体" w:cs="宋体"/>
          <w:color w:val="auto"/>
          <w:sz w:val="24"/>
          <w:highlight w:val="none"/>
        </w:rPr>
      </w:pPr>
      <w:r>
        <w:rPr>
          <w:rFonts w:hint="eastAsia" w:ascii="宋体" w:hAnsi="宋体" w:cs="宋体"/>
          <w:color w:val="auto"/>
          <w:sz w:val="24"/>
          <w:highlight w:val="none"/>
        </w:rPr>
        <w:t>3.13投标人车辆应符合国家运输管理部门的相关要求及国家的法律法规，排放要求必须满足国四（含国四）以上排放标准车辆或新能源车辆。车辆、人员进出需严格执行招标人制定的行车路线及要求，运输车辆进入生产区域，应严格遵守电厂相关规定，保持地面、墙面干净整洁，严禁发生超载、超速及洒落现象。投标人车辆进入现场，装车前，按流程完成装车、称重等过程，如违反规定的，招标方有权停止装运工作并进行考核。</w:t>
      </w:r>
    </w:p>
    <w:p>
      <w:pPr>
        <w:snapToGrid w:val="0"/>
        <w:spacing w:line="360" w:lineRule="auto"/>
        <w:ind w:firstLine="480" w:firstLineChars="200"/>
        <w:rPr>
          <w:rFonts w:hint="eastAsia" w:ascii="宋体" w:hAnsi="宋体"/>
          <w:b/>
          <w:bCs/>
          <w:color w:val="auto"/>
          <w:sz w:val="24"/>
          <w:highlight w:val="none"/>
        </w:rPr>
      </w:pPr>
      <w:r>
        <w:rPr>
          <w:rFonts w:hint="eastAsia" w:ascii="宋体" w:hAnsi="宋体" w:cs="宋体"/>
          <w:color w:val="auto"/>
          <w:sz w:val="24"/>
          <w:highlight w:val="none"/>
        </w:rPr>
        <w:t>3.14投标方</w:t>
      </w:r>
      <w:r>
        <w:rPr>
          <w:rFonts w:hint="eastAsia" w:ascii="宋体" w:hAnsi="宋体" w:cs="宋体"/>
          <w:color w:val="auto"/>
          <w:sz w:val="24"/>
          <w:highlight w:val="none"/>
          <w:lang w:val="en-US" w:eastAsia="zh-CN"/>
        </w:rPr>
        <w:t>陆运</w:t>
      </w:r>
      <w:r>
        <w:rPr>
          <w:rFonts w:hint="eastAsia" w:ascii="宋体" w:hAnsi="宋体" w:cs="宋体"/>
          <w:color w:val="auto"/>
          <w:sz w:val="24"/>
          <w:highlight w:val="none"/>
        </w:rPr>
        <w:t>装车地点设在电厂灰库区域临时堆场</w:t>
      </w:r>
      <w:r>
        <w:rPr>
          <w:rFonts w:hint="eastAsia" w:ascii="宋体" w:hAnsi="宋体"/>
          <w:color w:val="auto"/>
          <w:sz w:val="24"/>
          <w:highlight w:val="none"/>
        </w:rPr>
        <w:t>。</w:t>
      </w: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1A772984"/>
    <w:rsid w:val="1A772984"/>
    <w:rsid w:val="272E4E9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4"/>
      <w:lang w:val="en-US" w:eastAsia="zh-CN" w:bidi="ar-SA"/>
    </w:rPr>
  </w:style>
  <w:style w:type="character" w:default="1" w:styleId="3">
    <w:name w:val="Default Paragraph Font"/>
    <w:semiHidden/>
    <w:uiPriority w:val="0"/>
  </w:style>
  <w:style w:type="table" w:default="1" w:styleId="2">
    <w:name w:val="Normal Table"/>
    <w:semiHidden/>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4</Pages>
  <Words>0</Words>
  <Characters>0</Characters>
  <Lines>0</Lines>
  <Paragraphs>0</Paragraphs>
  <TotalTime>1</TotalTime>
  <ScaleCrop>false</ScaleCrop>
  <LinksUpToDate>false</LinksUpToDate>
  <CharactersWithSpaces>0</CharactersWithSpaces>
  <Application>WPS Office_11.8.2.12309_F1E327BC-269C-435d-A152-05C5408002CA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2025-11-18T04:36:00Z</dcterms:created>
  <dc:creator>liangyijie.TC</dc:creator>
  <cp:lastModifiedBy>liangyijie.TC</cp:lastModifiedBy>
  <dcterms:modified xsi:type="dcterms:W3CDTF">2025-11-18T04:37:25Z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2052-11.8.2.12309</vt:lpwstr>
  </property>
  <property fmtid="{D5CDD505-2E9C-101B-9397-08002B2CF9AE}" pid="3" name="ICV">
    <vt:lpwstr>687B214AFE6F4AC68F01D217BCE10345</vt:lpwstr>
  </property>
</Properties>
</file>