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360" w:lineRule="auto"/>
        <w:ind w:firstLine="0" w:firstLineChars="0"/>
        <w:contextualSpacing/>
        <w:rPr>
          <w:rFonts w:ascii="黑体" w:eastAsia="黑体" w:cs="Times New Roman"/>
          <w:color w:val="auto"/>
          <w:kern w:val="2"/>
          <w:sz w:val="21"/>
          <w:szCs w:val="21"/>
          <w:lang w:eastAsia="zh-CN"/>
        </w:rPr>
      </w:pPr>
      <w:r>
        <w:rPr>
          <w:rFonts w:hint="eastAsia" w:ascii="黑体" w:eastAsia="黑体" w:cs="Times New Roman"/>
          <w:color w:val="auto"/>
          <w:kern w:val="2"/>
          <w:sz w:val="24"/>
          <w:szCs w:val="24"/>
          <w:lang w:eastAsia="zh-CN"/>
        </w:rPr>
        <w:t>合同编号：</w:t>
      </w:r>
      <w:r>
        <w:rPr>
          <w:rFonts w:hint="eastAsia" w:ascii="黑体" w:eastAsia="黑体" w:cs="Times New Roman"/>
          <w:color w:val="auto"/>
          <w:kern w:val="2"/>
          <w:sz w:val="24"/>
          <w:szCs w:val="24"/>
          <w:lang w:val="en-US" w:eastAsia="zh-CN"/>
        </w:rPr>
        <w:t>HSTC-2025-GFCZ-XXX</w:t>
      </w:r>
      <w:r>
        <w:rPr>
          <w:rFonts w:hint="eastAsia" w:ascii="黑体" w:eastAsia="黑体" w:cs="Times New Roman"/>
          <w:color w:val="auto"/>
          <w:kern w:val="2"/>
          <w:sz w:val="24"/>
          <w:szCs w:val="24"/>
          <w:lang w:eastAsia="zh-CN"/>
        </w:rPr>
        <w:t xml:space="preserve">  </w:t>
      </w:r>
      <w:r>
        <w:rPr>
          <w:rFonts w:hint="eastAsia" w:ascii="黑体" w:eastAsia="黑体" w:cs="Times New Roman"/>
          <w:color w:val="auto"/>
          <w:kern w:val="2"/>
          <w:sz w:val="21"/>
          <w:szCs w:val="21"/>
          <w:lang w:eastAsia="zh-CN"/>
        </w:rPr>
        <w:t xml:space="preserve">                                        </w:t>
      </w:r>
    </w:p>
    <w:p>
      <w:pPr>
        <w:widowControl w:val="0"/>
        <w:adjustRightInd/>
        <w:snapToGrid/>
        <w:spacing w:line="360" w:lineRule="auto"/>
        <w:ind w:firstLine="605" w:firstLineChars="0"/>
        <w:jc w:val="center"/>
        <w:rPr>
          <w:rFonts w:hint="eastAsia" w:ascii="黑体" w:eastAsia="黑体" w:cs="Times New Roman"/>
          <w:color w:val="auto"/>
          <w:kern w:val="2"/>
          <w:sz w:val="21"/>
          <w:szCs w:val="21"/>
          <w:lang w:val="en-US" w:eastAsia="zh-CN"/>
        </w:rPr>
      </w:pPr>
      <w:r>
        <w:rPr>
          <w:rFonts w:hint="eastAsia" w:ascii="黑体" w:eastAsia="黑体" w:cs="Times New Roman"/>
          <w:color w:val="auto"/>
          <w:kern w:val="2"/>
          <w:sz w:val="21"/>
          <w:szCs w:val="21"/>
          <w:lang w:val="en-US" w:eastAsia="zh-CN"/>
        </w:rPr>
        <w:t xml:space="preserve"> </w:t>
      </w:r>
    </w:p>
    <w:p>
      <w:pPr>
        <w:pStyle w:val="7"/>
        <w:rPr>
          <w:color w:val="auto"/>
          <w:lang w:eastAsia="zh-CN"/>
        </w:rPr>
      </w:pPr>
    </w:p>
    <w:p>
      <w:pPr>
        <w:widowControl w:val="0"/>
        <w:adjustRightInd/>
        <w:snapToGrid/>
        <w:spacing w:line="360" w:lineRule="auto"/>
        <w:ind w:firstLine="0" w:firstLineChars="0"/>
        <w:jc w:val="center"/>
        <w:rPr>
          <w:rFonts w:hAnsi="Calibri" w:cs="Times New Roman"/>
          <w:color w:val="auto"/>
          <w:kern w:val="2"/>
          <w:sz w:val="44"/>
          <w:szCs w:val="24"/>
          <w:lang w:eastAsia="zh-CN"/>
        </w:rPr>
      </w:pPr>
    </w:p>
    <w:p>
      <w:pPr>
        <w:widowControl w:val="0"/>
        <w:adjustRightInd/>
        <w:snapToGrid/>
        <w:spacing w:line="360" w:lineRule="auto"/>
        <w:ind w:firstLine="0" w:firstLineChars="0"/>
        <w:jc w:val="center"/>
        <w:rPr>
          <w:rFonts w:hAnsi="Calibri" w:cs="Times New Roman"/>
          <w:color w:val="auto"/>
          <w:kern w:val="2"/>
          <w:sz w:val="44"/>
          <w:szCs w:val="24"/>
          <w:lang w:eastAsia="zh-CN"/>
        </w:rPr>
      </w:pPr>
      <w:r>
        <w:rPr>
          <w:rFonts w:hint="eastAsia" w:hAnsi="Calibri" w:cs="Times New Roman"/>
          <w:color w:val="auto"/>
          <w:kern w:val="2"/>
          <w:sz w:val="44"/>
          <w:szCs w:val="24"/>
          <w:lang w:eastAsia="zh-CN"/>
        </w:rPr>
        <w:t>202</w:t>
      </w:r>
      <w:r>
        <w:rPr>
          <w:rFonts w:hint="eastAsia" w:hAnsi="Calibri" w:cs="Times New Roman"/>
          <w:color w:val="auto"/>
          <w:kern w:val="2"/>
          <w:sz w:val="44"/>
          <w:szCs w:val="24"/>
          <w:lang w:val="en-US" w:eastAsia="zh-CN"/>
        </w:rPr>
        <w:t>5</w:t>
      </w:r>
      <w:r>
        <w:rPr>
          <w:rFonts w:hint="eastAsia" w:hAnsi="Calibri" w:cs="Times New Roman"/>
          <w:color w:val="auto"/>
          <w:kern w:val="2"/>
          <w:sz w:val="44"/>
          <w:szCs w:val="24"/>
          <w:lang w:eastAsia="zh-CN"/>
        </w:rPr>
        <w:t>年</w:t>
      </w:r>
      <w:r>
        <w:rPr>
          <w:rFonts w:hint="eastAsia" w:hAnsi="Calibri" w:cs="Times New Roman"/>
          <w:color w:val="auto"/>
          <w:kern w:val="2"/>
          <w:sz w:val="44"/>
          <w:szCs w:val="24"/>
          <w:lang w:val="en-US" w:eastAsia="zh-CN"/>
        </w:rPr>
        <w:t>X月炉渣综合利用</w:t>
      </w:r>
      <w:r>
        <w:rPr>
          <w:rFonts w:hint="eastAsia" w:hAnsi="Calibri" w:cs="Times New Roman"/>
          <w:color w:val="auto"/>
          <w:kern w:val="2"/>
          <w:sz w:val="44"/>
          <w:szCs w:val="24"/>
          <w:lang w:eastAsia="zh-CN"/>
        </w:rPr>
        <w:t>合同</w:t>
      </w:r>
    </w:p>
    <w:p>
      <w:pPr>
        <w:widowControl w:val="0"/>
        <w:adjustRightInd/>
        <w:snapToGrid/>
        <w:spacing w:line="360" w:lineRule="auto"/>
        <w:ind w:firstLine="605" w:firstLineChars="0"/>
        <w:jc w:val="both"/>
        <w:rPr>
          <w:rFonts w:ascii="楷体_GB2312" w:hAnsi="Calibri" w:eastAsia="楷体_GB2312" w:cs="Times New Roman"/>
          <w:color w:val="auto"/>
          <w:kern w:val="2"/>
          <w:sz w:val="28"/>
          <w:szCs w:val="24"/>
          <w:lang w:eastAsia="zh-CN"/>
        </w:rPr>
      </w:pPr>
    </w:p>
    <w:p>
      <w:pPr>
        <w:pStyle w:val="7"/>
        <w:rPr>
          <w:color w:val="auto"/>
          <w:lang w:eastAsia="zh-CN"/>
        </w:rPr>
      </w:pPr>
    </w:p>
    <w:p>
      <w:pPr>
        <w:widowControl w:val="0"/>
        <w:adjustRightInd/>
        <w:snapToGrid/>
        <w:spacing w:line="360" w:lineRule="auto"/>
        <w:ind w:left="1702" w:leftChars="102" w:hanging="1488" w:hangingChars="494"/>
        <w:jc w:val="center"/>
        <w:rPr>
          <w:rFonts w:ascii="楷体_GB2312" w:hAnsi="Calibri" w:eastAsia="楷体_GB2312" w:cs="Times New Roman"/>
          <w:b/>
          <w:bCs/>
          <w:color w:val="auto"/>
          <w:kern w:val="2"/>
          <w:sz w:val="30"/>
          <w:szCs w:val="24"/>
          <w:lang w:eastAsia="zh-CN"/>
        </w:rPr>
      </w:pPr>
      <w:r>
        <w:rPr>
          <w:rFonts w:hint="eastAsia" w:ascii="楷体_GB2312" w:hAnsi="Calibri" w:eastAsia="楷体_GB2312" w:cs="Times New Roman"/>
          <w:b/>
          <w:bCs/>
          <w:color w:val="auto"/>
          <w:kern w:val="2"/>
          <w:sz w:val="30"/>
          <w:szCs w:val="30"/>
          <w:lang w:eastAsia="zh-CN"/>
        </w:rPr>
        <w:t>项目名称：</w:t>
      </w:r>
      <w:r>
        <w:rPr>
          <w:rFonts w:hint="eastAsia" w:ascii="楷体_GB2312" w:hAnsi="Calibri" w:eastAsia="楷体_GB2312" w:cs="Times New Roman"/>
          <w:color w:val="auto"/>
          <w:kern w:val="2"/>
          <w:sz w:val="30"/>
          <w:szCs w:val="24"/>
          <w:lang w:eastAsia="zh-CN"/>
        </w:rPr>
        <w:t>202</w:t>
      </w:r>
      <w:r>
        <w:rPr>
          <w:rFonts w:hint="eastAsia" w:ascii="楷体_GB2312" w:hAnsi="Calibri" w:eastAsia="楷体_GB2312" w:cs="Times New Roman"/>
          <w:color w:val="auto"/>
          <w:kern w:val="2"/>
          <w:sz w:val="30"/>
          <w:szCs w:val="24"/>
          <w:lang w:val="en-US" w:eastAsia="zh-CN"/>
        </w:rPr>
        <w:t>5</w:t>
      </w:r>
      <w:r>
        <w:rPr>
          <w:rFonts w:hint="eastAsia" w:ascii="楷体_GB2312" w:hAnsi="Calibri" w:eastAsia="楷体_GB2312" w:cs="Times New Roman"/>
          <w:color w:val="auto"/>
          <w:kern w:val="2"/>
          <w:sz w:val="30"/>
          <w:szCs w:val="24"/>
          <w:lang w:eastAsia="zh-CN"/>
        </w:rPr>
        <w:t>年</w:t>
      </w:r>
      <w:r>
        <w:rPr>
          <w:rFonts w:hint="eastAsia" w:ascii="楷体_GB2312" w:hAnsi="Calibri" w:eastAsia="楷体_GB2312" w:cs="Times New Roman"/>
          <w:color w:val="auto"/>
          <w:kern w:val="2"/>
          <w:sz w:val="30"/>
          <w:szCs w:val="24"/>
          <w:lang w:val="en-US" w:eastAsia="zh-CN"/>
        </w:rPr>
        <w:t>X月综合利用</w:t>
      </w:r>
      <w:bookmarkStart w:id="0" w:name="_GoBack"/>
      <w:bookmarkEnd w:id="0"/>
      <w:r>
        <w:rPr>
          <w:rFonts w:hint="eastAsia" w:ascii="楷体_GB2312" w:hAnsi="Calibri" w:eastAsia="楷体_GB2312" w:cs="Times New Roman"/>
          <w:color w:val="auto"/>
          <w:kern w:val="2"/>
          <w:sz w:val="30"/>
          <w:szCs w:val="24"/>
          <w:lang w:val="en-US" w:eastAsia="zh-CN"/>
        </w:rPr>
        <w:t>项目</w:t>
      </w:r>
    </w:p>
    <w:p>
      <w:pPr>
        <w:widowControl w:val="0"/>
        <w:adjustRightInd/>
        <w:snapToGrid/>
        <w:spacing w:line="360" w:lineRule="auto"/>
        <w:ind w:left="1597" w:leftChars="102" w:hanging="1383" w:hangingChars="494"/>
        <w:jc w:val="both"/>
        <w:rPr>
          <w:rFonts w:ascii="楷体_GB2312" w:hAnsi="Calibri" w:eastAsia="楷体_GB2312" w:cs="Times New Roman"/>
          <w:bCs/>
          <w:color w:val="auto"/>
          <w:kern w:val="2"/>
          <w:sz w:val="28"/>
          <w:szCs w:val="28"/>
          <w:lang w:eastAsia="zh-CN"/>
        </w:rPr>
      </w:pPr>
    </w:p>
    <w:p>
      <w:pPr>
        <w:pStyle w:val="7"/>
        <w:rPr>
          <w:color w:val="auto"/>
          <w:lang w:eastAsia="zh-CN"/>
        </w:rPr>
      </w:pPr>
    </w:p>
    <w:p>
      <w:pPr>
        <w:tabs>
          <w:tab w:val="left" w:pos="3285"/>
        </w:tabs>
        <w:spacing w:line="360" w:lineRule="auto"/>
        <w:rPr>
          <w:rFonts w:hint="eastAsia" w:ascii="楷体_GB2312" w:hAnsi="Calibri" w:eastAsia="楷体_GB2312" w:cs="Times New Roman"/>
          <w:b/>
          <w:bCs/>
          <w:color w:val="auto"/>
          <w:kern w:val="2"/>
          <w:sz w:val="30"/>
          <w:szCs w:val="30"/>
          <w:lang w:eastAsia="zh-CN"/>
        </w:rPr>
      </w:pPr>
      <w:r>
        <w:rPr>
          <w:rFonts w:hint="eastAsia" w:ascii="楷体_GB2312" w:hAnsi="Calibri" w:eastAsia="楷体_GB2312" w:cs="Times New Roman"/>
          <w:b/>
          <w:bCs/>
          <w:color w:val="auto"/>
          <w:kern w:val="2"/>
          <w:sz w:val="30"/>
          <w:szCs w:val="30"/>
          <w:lang w:val="en-US" w:eastAsia="zh-CN"/>
        </w:rPr>
        <w:t xml:space="preserve"> </w:t>
      </w:r>
    </w:p>
    <w:p>
      <w:pPr>
        <w:widowControl w:val="0"/>
        <w:adjustRightInd/>
        <w:snapToGrid/>
        <w:spacing w:line="360" w:lineRule="auto"/>
        <w:ind w:left="214" w:leftChars="102" w:firstLine="0" w:firstLineChars="0"/>
        <w:jc w:val="both"/>
        <w:rPr>
          <w:rFonts w:ascii="楷体_GB2312" w:hAnsi="Calibri" w:eastAsia="楷体_GB2312" w:cs="Times New Roman"/>
          <w:b/>
          <w:bCs/>
          <w:color w:val="auto"/>
          <w:kern w:val="2"/>
          <w:sz w:val="30"/>
          <w:szCs w:val="30"/>
          <w:lang w:eastAsia="zh-CN"/>
        </w:rPr>
      </w:pPr>
    </w:p>
    <w:p>
      <w:pPr>
        <w:tabs>
          <w:tab w:val="left" w:pos="3285"/>
        </w:tabs>
        <w:spacing w:line="360" w:lineRule="auto"/>
        <w:ind w:firstLine="301" w:firstLineChars="100"/>
        <w:jc w:val="center"/>
        <w:rPr>
          <w:rFonts w:hint="default"/>
          <w:b/>
          <w:bCs/>
          <w:color w:val="auto"/>
          <w:szCs w:val="24"/>
          <w:lang w:val="en-US" w:eastAsia="zh-CN"/>
        </w:rPr>
      </w:pPr>
      <w:r>
        <w:rPr>
          <w:rFonts w:hint="eastAsia" w:ascii="楷体_GB2312" w:hAnsi="Calibri" w:eastAsia="楷体_GB2312" w:cs="Times New Roman"/>
          <w:b/>
          <w:bCs/>
          <w:color w:val="auto"/>
          <w:kern w:val="2"/>
          <w:sz w:val="30"/>
          <w:szCs w:val="30"/>
          <w:lang w:eastAsia="zh-CN"/>
        </w:rPr>
        <w:t>委 托 方</w:t>
      </w:r>
      <w:r>
        <w:rPr>
          <w:rFonts w:hint="eastAsia" w:ascii="楷体_GB2312" w:hAnsi="Calibri" w:eastAsia="楷体_GB2312" w:cs="Times New Roman"/>
          <w:b/>
          <w:color w:val="auto"/>
          <w:kern w:val="2"/>
          <w:sz w:val="28"/>
          <w:szCs w:val="24"/>
          <w:lang w:eastAsia="zh-CN"/>
        </w:rPr>
        <w:t>(甲方)</w:t>
      </w:r>
      <w:r>
        <w:rPr>
          <w:rFonts w:hint="eastAsia" w:ascii="楷体_GB2312" w:hAnsi="Calibri" w:eastAsia="楷体_GB2312" w:cs="Times New Roman"/>
          <w:bCs/>
          <w:color w:val="auto"/>
          <w:kern w:val="2"/>
          <w:sz w:val="30"/>
          <w:szCs w:val="30"/>
          <w:lang w:eastAsia="zh-CN"/>
        </w:rPr>
        <w:t>：</w:t>
      </w:r>
      <w:r>
        <w:rPr>
          <w:rFonts w:hint="eastAsia" w:ascii="楷体_GB2312" w:hAnsi="Calibri" w:eastAsia="楷体_GB2312" w:cs="Times New Roman"/>
          <w:bCs/>
          <w:color w:val="auto"/>
          <w:kern w:val="2"/>
          <w:sz w:val="30"/>
          <w:szCs w:val="30"/>
          <w:lang w:val="en-US" w:eastAsia="zh-CN"/>
        </w:rPr>
        <w:t>华能华苏太仓发电有限公司</w:t>
      </w:r>
    </w:p>
    <w:p>
      <w:pPr>
        <w:widowControl w:val="0"/>
        <w:adjustRightInd/>
        <w:snapToGrid/>
        <w:spacing w:line="360" w:lineRule="auto"/>
        <w:ind w:firstLine="301" w:firstLineChars="100"/>
        <w:jc w:val="center"/>
        <w:rPr>
          <w:rFonts w:hint="default" w:ascii="楷体_GB2312" w:hAnsi="Calibri" w:eastAsia="楷体_GB2312" w:cs="Times New Roman"/>
          <w:bCs/>
          <w:color w:val="auto"/>
          <w:kern w:val="2"/>
          <w:sz w:val="30"/>
          <w:szCs w:val="30"/>
          <w:lang w:val="en-US" w:eastAsia="zh-CN"/>
        </w:rPr>
      </w:pPr>
      <w:r>
        <w:rPr>
          <w:rFonts w:hint="eastAsia" w:ascii="楷体_GB2312" w:hAnsi="Calibri" w:eastAsia="楷体_GB2312" w:cs="Times New Roman"/>
          <w:b/>
          <w:bCs/>
          <w:color w:val="auto"/>
          <w:kern w:val="2"/>
          <w:sz w:val="30"/>
          <w:szCs w:val="30"/>
          <w:lang w:eastAsia="zh-CN"/>
        </w:rPr>
        <w:t>受 托 方</w:t>
      </w:r>
      <w:r>
        <w:rPr>
          <w:rFonts w:hint="eastAsia" w:ascii="楷体_GB2312" w:hAnsi="Calibri" w:eastAsia="楷体_GB2312" w:cs="Times New Roman"/>
          <w:b/>
          <w:color w:val="auto"/>
          <w:kern w:val="2"/>
          <w:sz w:val="28"/>
          <w:szCs w:val="24"/>
          <w:lang w:eastAsia="zh-CN"/>
        </w:rPr>
        <w:t>(乙方)</w:t>
      </w:r>
      <w:r>
        <w:rPr>
          <w:rFonts w:hint="eastAsia" w:ascii="楷体_GB2312" w:hAnsi="Calibri" w:eastAsia="楷体_GB2312" w:cs="Times New Roman"/>
          <w:b/>
          <w:bCs/>
          <w:color w:val="auto"/>
          <w:kern w:val="2"/>
          <w:sz w:val="30"/>
          <w:szCs w:val="30"/>
          <w:lang w:eastAsia="zh-CN"/>
        </w:rPr>
        <w:t>：</w:t>
      </w:r>
      <w:r>
        <w:rPr>
          <w:rFonts w:hint="eastAsia" w:ascii="楷体_GB2312" w:hAnsi="Calibri" w:eastAsia="楷体_GB2312" w:cs="Times New Roman"/>
          <w:b/>
          <w:bCs/>
          <w:color w:val="auto"/>
          <w:kern w:val="2"/>
          <w:sz w:val="30"/>
          <w:szCs w:val="30"/>
          <w:lang w:val="en-US" w:eastAsia="zh-CN"/>
        </w:rPr>
        <w:t>XXXX</w:t>
      </w:r>
    </w:p>
    <w:p>
      <w:pPr>
        <w:widowControl w:val="0"/>
        <w:adjustRightInd/>
        <w:snapToGrid/>
        <w:spacing w:line="360" w:lineRule="auto"/>
        <w:ind w:firstLine="884" w:firstLineChars="316"/>
        <w:jc w:val="both"/>
        <w:rPr>
          <w:rFonts w:ascii="楷体_GB2312" w:hAnsi="Calibri" w:eastAsia="楷体_GB2312" w:cs="Times New Roman"/>
          <w:color w:val="auto"/>
          <w:kern w:val="2"/>
          <w:sz w:val="28"/>
          <w:szCs w:val="24"/>
          <w:lang w:eastAsia="zh-CN"/>
        </w:rPr>
      </w:pPr>
    </w:p>
    <w:p>
      <w:pPr>
        <w:widowControl w:val="0"/>
        <w:adjustRightInd/>
        <w:snapToGrid/>
        <w:spacing w:line="360" w:lineRule="auto"/>
        <w:ind w:firstLine="884" w:firstLineChars="316"/>
        <w:jc w:val="both"/>
        <w:rPr>
          <w:rFonts w:ascii="楷体_GB2312" w:hAnsi="Calibri" w:eastAsia="楷体_GB2312" w:cs="Times New Roman"/>
          <w:color w:val="auto"/>
          <w:kern w:val="2"/>
          <w:sz w:val="28"/>
          <w:szCs w:val="24"/>
          <w:lang w:eastAsia="zh-CN"/>
        </w:rPr>
      </w:pPr>
    </w:p>
    <w:p>
      <w:pPr>
        <w:widowControl w:val="0"/>
        <w:adjustRightInd/>
        <w:snapToGrid/>
        <w:spacing w:line="360" w:lineRule="auto"/>
        <w:ind w:firstLine="884" w:firstLineChars="316"/>
        <w:jc w:val="both"/>
        <w:rPr>
          <w:rFonts w:ascii="楷体_GB2312" w:hAnsi="Calibri" w:eastAsia="楷体_GB2312" w:cs="Times New Roman"/>
          <w:color w:val="auto"/>
          <w:kern w:val="2"/>
          <w:sz w:val="28"/>
          <w:szCs w:val="24"/>
          <w:lang w:eastAsia="zh-CN"/>
        </w:rPr>
      </w:pPr>
    </w:p>
    <w:p>
      <w:pPr>
        <w:widowControl w:val="0"/>
        <w:adjustRightInd/>
        <w:snapToGrid/>
        <w:spacing w:line="360" w:lineRule="auto"/>
        <w:jc w:val="both"/>
        <w:rPr>
          <w:rFonts w:hint="eastAsia" w:ascii="楷体_GB2312" w:hAnsi="Calibri" w:eastAsia="楷体_GB2312" w:cs="Times New Roman"/>
          <w:color w:val="auto"/>
          <w:kern w:val="2"/>
          <w:sz w:val="28"/>
          <w:szCs w:val="24"/>
          <w:lang w:eastAsia="zh-CN"/>
        </w:rPr>
      </w:pPr>
    </w:p>
    <w:p>
      <w:pPr>
        <w:pStyle w:val="4"/>
        <w:rPr>
          <w:rFonts w:hint="eastAsia"/>
          <w:color w:val="auto"/>
          <w:lang w:eastAsia="zh-CN"/>
        </w:rPr>
      </w:pPr>
    </w:p>
    <w:p>
      <w:pPr>
        <w:widowControl w:val="0"/>
        <w:adjustRightInd/>
        <w:snapToGrid/>
        <w:spacing w:line="360" w:lineRule="auto"/>
        <w:ind w:firstLine="884" w:firstLineChars="316"/>
        <w:jc w:val="both"/>
        <w:rPr>
          <w:rFonts w:hint="eastAsia" w:ascii="楷体_GB2312" w:hAnsi="Calibri" w:eastAsia="楷体_GB2312" w:cs="Times New Roman"/>
          <w:color w:val="auto"/>
          <w:kern w:val="2"/>
          <w:sz w:val="28"/>
          <w:szCs w:val="24"/>
          <w:lang w:eastAsia="zh-CN"/>
        </w:rPr>
      </w:pPr>
    </w:p>
    <w:p>
      <w:pPr>
        <w:widowControl w:val="0"/>
        <w:adjustRightInd/>
        <w:snapToGrid/>
        <w:spacing w:line="360" w:lineRule="auto"/>
        <w:ind w:firstLine="884" w:firstLineChars="316"/>
        <w:jc w:val="both"/>
        <w:rPr>
          <w:rFonts w:hint="eastAsia" w:ascii="楷体_GB2312" w:hAnsi="Calibri" w:eastAsia="楷体_GB2312" w:cs="Times New Roman"/>
          <w:color w:val="auto"/>
          <w:kern w:val="2"/>
          <w:sz w:val="28"/>
          <w:szCs w:val="24"/>
          <w:lang w:eastAsia="zh-CN"/>
        </w:rPr>
      </w:pPr>
    </w:p>
    <w:p>
      <w:pPr>
        <w:widowControl w:val="0"/>
        <w:adjustRightInd/>
        <w:snapToGrid/>
        <w:spacing w:line="360" w:lineRule="auto"/>
        <w:ind w:left="180" w:firstLine="1827" w:firstLineChars="650"/>
        <w:jc w:val="both"/>
        <w:rPr>
          <w:rFonts w:hint="default" w:ascii="楷体_GB2312" w:hAnsi="Calibri" w:eastAsia="楷体_GB2312" w:cs="Times New Roman"/>
          <w:color w:val="auto"/>
          <w:kern w:val="2"/>
          <w:sz w:val="28"/>
          <w:szCs w:val="28"/>
          <w:lang w:val="en-US" w:eastAsia="zh-CN"/>
        </w:rPr>
      </w:pPr>
      <w:r>
        <w:rPr>
          <w:rFonts w:hint="eastAsia" w:ascii="楷体_GB2312" w:hAnsi="Calibri" w:eastAsia="楷体_GB2312" w:cs="Times New Roman"/>
          <w:b/>
          <w:bCs/>
          <w:color w:val="auto"/>
          <w:kern w:val="2"/>
          <w:sz w:val="28"/>
          <w:szCs w:val="28"/>
          <w:lang w:eastAsia="zh-CN"/>
        </w:rPr>
        <w:t>签订地点：</w:t>
      </w:r>
      <w:r>
        <w:rPr>
          <w:rFonts w:hint="eastAsia" w:ascii="楷体_GB2312" w:hAnsi="Calibri" w:eastAsia="楷体_GB2312" w:cs="Times New Roman"/>
          <w:b/>
          <w:bCs/>
          <w:color w:val="auto"/>
          <w:kern w:val="2"/>
          <w:sz w:val="28"/>
          <w:szCs w:val="28"/>
          <w:lang w:val="en-US" w:eastAsia="zh-CN"/>
        </w:rPr>
        <w:t>江苏省太仓市</w:t>
      </w:r>
    </w:p>
    <w:p>
      <w:pPr>
        <w:widowControl w:val="0"/>
        <w:adjustRightInd/>
        <w:snapToGrid/>
        <w:spacing w:line="360" w:lineRule="auto"/>
        <w:ind w:firstLine="2038" w:firstLineChars="725"/>
        <w:jc w:val="both"/>
        <w:rPr>
          <w:rFonts w:ascii="楷体_GB2312" w:hAnsi="Calibri" w:eastAsia="楷体_GB2312" w:cs="Times New Roman"/>
          <w:color w:val="auto"/>
          <w:kern w:val="2"/>
          <w:sz w:val="28"/>
          <w:szCs w:val="28"/>
          <w:lang w:eastAsia="zh-CN"/>
        </w:rPr>
      </w:pPr>
      <w:r>
        <w:rPr>
          <w:rFonts w:hint="eastAsia" w:ascii="楷体_GB2312" w:hAnsi="Calibri" w:eastAsia="楷体_GB2312" w:cs="Times New Roman"/>
          <w:b/>
          <w:bCs/>
          <w:color w:val="auto"/>
          <w:kern w:val="2"/>
          <w:sz w:val="28"/>
          <w:szCs w:val="28"/>
          <w:lang w:eastAsia="zh-CN"/>
        </w:rPr>
        <w:t>签订日期：</w:t>
      </w:r>
      <w:r>
        <w:rPr>
          <w:rFonts w:hint="eastAsia" w:ascii="楷体_GB2312" w:hAnsi="Calibri" w:eastAsia="楷体_GB2312" w:cs="Times New Roman"/>
          <w:b/>
          <w:bCs/>
          <w:color w:val="auto"/>
          <w:kern w:val="2"/>
          <w:sz w:val="28"/>
          <w:szCs w:val="28"/>
          <w:lang w:val="en-US" w:eastAsia="zh-CN"/>
        </w:rPr>
        <w:t>2025</w:t>
      </w:r>
      <w:r>
        <w:rPr>
          <w:rFonts w:hint="eastAsia" w:ascii="楷体_GB2312" w:hAnsi="Calibri" w:eastAsia="楷体_GB2312" w:cs="Times New Roman"/>
          <w:b/>
          <w:bCs/>
          <w:color w:val="auto"/>
          <w:kern w:val="2"/>
          <w:sz w:val="28"/>
          <w:szCs w:val="28"/>
          <w:lang w:eastAsia="zh-CN"/>
        </w:rPr>
        <w:t xml:space="preserve">年 </w:t>
      </w:r>
      <w:r>
        <w:rPr>
          <w:rFonts w:hint="eastAsia" w:ascii="楷体_GB2312" w:hAnsi="Calibri" w:eastAsia="楷体_GB2312" w:cs="Times New Roman"/>
          <w:b/>
          <w:bCs/>
          <w:color w:val="auto"/>
          <w:kern w:val="2"/>
          <w:sz w:val="28"/>
          <w:szCs w:val="28"/>
          <w:lang w:val="en-US" w:eastAsia="zh-CN"/>
        </w:rPr>
        <w:t>X</w:t>
      </w:r>
      <w:r>
        <w:rPr>
          <w:rFonts w:hint="eastAsia" w:ascii="楷体_GB2312" w:hAnsi="Calibri" w:eastAsia="楷体_GB2312" w:cs="Times New Roman"/>
          <w:b/>
          <w:bCs/>
          <w:color w:val="auto"/>
          <w:kern w:val="2"/>
          <w:sz w:val="28"/>
          <w:szCs w:val="28"/>
          <w:lang w:eastAsia="zh-CN"/>
        </w:rPr>
        <w:t>月  日</w:t>
      </w:r>
    </w:p>
    <w:p>
      <w:pPr>
        <w:spacing w:line="360" w:lineRule="auto"/>
        <w:ind w:firstLine="480"/>
        <w:rPr>
          <w:szCs w:val="24"/>
          <w:lang w:eastAsia="zh-CN"/>
        </w:rPr>
      </w:pPr>
      <w:r>
        <w:rPr>
          <w:rFonts w:hint="eastAsia"/>
          <w:szCs w:val="24"/>
          <w:lang w:eastAsia="zh-CN"/>
        </w:rPr>
        <w:t xml:space="preserve">委托方: </w:t>
      </w:r>
      <w:r>
        <w:rPr>
          <w:rFonts w:hint="eastAsia"/>
          <w:b/>
          <w:bCs/>
          <w:szCs w:val="24"/>
          <w:lang w:val="en-US" w:eastAsia="zh-CN"/>
        </w:rPr>
        <w:t xml:space="preserve"> </w:t>
      </w:r>
      <w:r>
        <w:rPr>
          <w:rFonts w:hint="eastAsia"/>
          <w:b/>
          <w:bCs/>
          <w:szCs w:val="24"/>
          <w:lang w:eastAsia="zh-CN"/>
        </w:rPr>
        <w:t xml:space="preserve">     </w:t>
      </w:r>
      <w:r>
        <w:rPr>
          <w:rFonts w:hint="eastAsia"/>
          <w:b/>
          <w:bCs/>
          <w:szCs w:val="24"/>
          <w:lang w:val="en-US" w:eastAsia="zh-CN"/>
        </w:rPr>
        <w:t xml:space="preserve">                                  </w:t>
      </w:r>
      <w:r>
        <w:rPr>
          <w:rFonts w:hint="eastAsia"/>
          <w:b/>
          <w:bCs/>
          <w:szCs w:val="24"/>
          <w:lang w:eastAsia="zh-CN"/>
        </w:rPr>
        <w:t xml:space="preserve"> </w:t>
      </w:r>
      <w:r>
        <w:rPr>
          <w:rFonts w:hint="eastAsia"/>
          <w:szCs w:val="24"/>
          <w:lang w:eastAsia="zh-CN"/>
        </w:rPr>
        <w:t>（以下简称：甲方）</w:t>
      </w:r>
      <w:r>
        <w:rPr>
          <w:rFonts w:hint="eastAsia"/>
          <w:b/>
          <w:bCs/>
          <w:szCs w:val="24"/>
          <w:lang w:eastAsia="zh-CN"/>
        </w:rPr>
        <w:t xml:space="preserve">  </w:t>
      </w:r>
      <w:r>
        <w:rPr>
          <w:rFonts w:hint="eastAsia"/>
          <w:szCs w:val="24"/>
          <w:lang w:eastAsia="zh-CN"/>
        </w:rPr>
        <w:t xml:space="preserve">              </w:t>
      </w:r>
    </w:p>
    <w:p>
      <w:pPr>
        <w:widowControl w:val="0"/>
        <w:adjustRightInd/>
        <w:snapToGrid/>
        <w:spacing w:line="360" w:lineRule="auto"/>
        <w:ind w:left="214" w:leftChars="102" w:firstLine="210" w:firstLineChars="100"/>
        <w:jc w:val="both"/>
        <w:rPr>
          <w:rFonts w:ascii="Calibri" w:hAnsi="Calibri" w:eastAsia="楷体_GB2312" w:cs="Times New Roman"/>
          <w:b/>
          <w:bCs/>
          <w:kern w:val="2"/>
          <w:sz w:val="32"/>
          <w:szCs w:val="32"/>
          <w:lang w:eastAsia="zh-CN"/>
        </w:rPr>
      </w:pPr>
      <w:r>
        <w:rPr>
          <w:rFonts w:hint="eastAsia"/>
          <w:szCs w:val="24"/>
          <w:lang w:eastAsia="zh-CN"/>
        </w:rPr>
        <w:t>受托方:</w:t>
      </w:r>
      <w:r>
        <w:rPr>
          <w:rFonts w:hint="eastAsia" w:cs="Times New Roman"/>
          <w:bCs/>
          <w:szCs w:val="24"/>
          <w:lang w:eastAsia="zh-CN"/>
        </w:rPr>
        <w:t xml:space="preserve"> </w:t>
      </w:r>
      <w:r>
        <w:rPr>
          <w:rFonts w:hint="eastAsia" w:asciiTheme="majorEastAsia" w:hAnsiTheme="majorEastAsia" w:eastAsiaTheme="majorEastAsia" w:cstheme="majorEastAsia"/>
          <w:b/>
          <w:bCs/>
          <w:kern w:val="2"/>
          <w:szCs w:val="24"/>
          <w:lang w:val="en-US" w:eastAsia="zh-CN"/>
        </w:rPr>
        <w:t xml:space="preserve">                         </w:t>
      </w:r>
      <w:r>
        <w:rPr>
          <w:rFonts w:hint="eastAsia" w:asciiTheme="majorEastAsia" w:hAnsiTheme="majorEastAsia" w:eastAsiaTheme="majorEastAsia" w:cstheme="majorEastAsia"/>
          <w:b/>
          <w:bCs/>
          <w:kern w:val="2"/>
          <w:szCs w:val="24"/>
          <w:lang w:eastAsia="zh-CN"/>
        </w:rPr>
        <w:t xml:space="preserve">                </w:t>
      </w:r>
      <w:r>
        <w:rPr>
          <w:rFonts w:hint="eastAsia"/>
          <w:szCs w:val="24"/>
          <w:lang w:eastAsia="zh-CN"/>
        </w:rPr>
        <w:t>（以下简称：乙方）</w:t>
      </w:r>
      <w:r>
        <w:rPr>
          <w:rFonts w:hint="eastAsia" w:asciiTheme="majorEastAsia" w:hAnsiTheme="majorEastAsia" w:eastAsiaTheme="majorEastAsia" w:cstheme="majorEastAsia"/>
          <w:b/>
          <w:bCs/>
          <w:kern w:val="2"/>
          <w:szCs w:val="24"/>
          <w:lang w:eastAsia="zh-CN"/>
        </w:rPr>
        <w:t xml:space="preserve">  </w:t>
      </w:r>
    </w:p>
    <w:p>
      <w:pPr>
        <w:spacing w:line="360" w:lineRule="auto"/>
        <w:rPr>
          <w:rFonts w:ascii="Calibri" w:hAnsi="Calibri" w:eastAsia="宋体" w:cs="Times New Roman"/>
          <w:b/>
          <w:bCs/>
          <w:sz w:val="28"/>
          <w:szCs w:val="28"/>
        </w:rPr>
      </w:pP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为了保证双方的合法权益，明确双方的责任，甲、乙双方本着平等互利、协商一致的原则，根据《中华人民共和国合同法》、《中华人民共和国环境保护法》等有关法律、法规和国家环保总局、电力行业的有关规定，签订本合同。本合同对甲、乙双方具有法律约束力，双方同意履行本合同的所有条款。</w:t>
      </w:r>
    </w:p>
    <w:p>
      <w:pPr>
        <w:overflowPunct w:val="0"/>
        <w:adjustRightInd w:val="0"/>
        <w:snapToGrid w:val="0"/>
        <w:spacing w:line="360" w:lineRule="auto"/>
        <w:rPr>
          <w:rFonts w:ascii="宋体" w:hAnsi="宋体"/>
          <w:sz w:val="24"/>
          <w:szCs w:val="24"/>
        </w:rPr>
      </w:pPr>
      <w:r>
        <w:rPr>
          <w:rFonts w:hint="eastAsia" w:ascii="宋体" w:hAnsi="宋体"/>
          <w:sz w:val="24"/>
          <w:szCs w:val="24"/>
        </w:rPr>
        <w:t>一、产品名称</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1.电厂生产所产生的固废物:炉渣（含干渣、湿渣）。甲方对</w:t>
      </w:r>
      <w:r>
        <w:rPr>
          <w:rFonts w:hint="eastAsia" w:ascii="宋体" w:hAnsi="宋体"/>
          <w:sz w:val="24"/>
          <w:szCs w:val="24"/>
          <w:lang w:eastAsia="zh-CN"/>
        </w:rPr>
        <w:t>炉</w:t>
      </w:r>
      <w:r>
        <w:rPr>
          <w:rFonts w:hint="eastAsia" w:ascii="宋体" w:hAnsi="宋体"/>
          <w:sz w:val="24"/>
          <w:szCs w:val="24"/>
        </w:rPr>
        <w:t>渣的品质不作质量承诺。</w:t>
      </w:r>
    </w:p>
    <w:p>
      <w:pPr>
        <w:overflowPunct w:val="0"/>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二、合同期炉渣价格、数量及特殊约定</w:t>
      </w:r>
    </w:p>
    <w:p>
      <w:pPr>
        <w:overflowPunct w:val="0"/>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1.在合同期内，乙方负责</w:t>
      </w:r>
      <w:r>
        <w:rPr>
          <w:rFonts w:hint="eastAsia" w:ascii="宋体" w:hAnsi="宋体"/>
          <w:sz w:val="24"/>
          <w:szCs w:val="24"/>
          <w:lang w:eastAsia="zh-CN"/>
        </w:rPr>
        <w:t>处置服务</w:t>
      </w:r>
      <w:r>
        <w:rPr>
          <w:rFonts w:hint="eastAsia" w:ascii="宋体" w:hAnsi="宋体"/>
          <w:sz w:val="24"/>
          <w:szCs w:val="24"/>
        </w:rPr>
        <w:t>甲方</w:t>
      </w:r>
      <w:r>
        <w:rPr>
          <w:rFonts w:hint="eastAsia" w:ascii="宋体" w:hAnsi="宋体"/>
          <w:sz w:val="24"/>
          <w:szCs w:val="24"/>
          <w:lang w:eastAsia="zh-CN"/>
        </w:rPr>
        <w:t>临时堆场的</w:t>
      </w:r>
      <w:r>
        <w:rPr>
          <w:rFonts w:hint="eastAsia" w:ascii="宋体" w:hAnsi="宋体"/>
          <w:sz w:val="24"/>
          <w:szCs w:val="24"/>
        </w:rPr>
        <w:t>炉渣</w:t>
      </w:r>
      <w:r>
        <w:rPr>
          <w:rFonts w:hint="eastAsia" w:ascii="宋体" w:hAnsi="宋体"/>
          <w:sz w:val="24"/>
          <w:szCs w:val="24"/>
          <w:lang w:eastAsia="zh-CN"/>
        </w:rPr>
        <w:t>，预估</w:t>
      </w:r>
      <w:r>
        <w:rPr>
          <w:rFonts w:hint="eastAsia" w:ascii="宋体" w:hAnsi="宋体"/>
          <w:sz w:val="24"/>
          <w:szCs w:val="24"/>
          <w:u w:val="single"/>
          <w:lang w:val="en-US" w:eastAsia="zh-CN"/>
        </w:rPr>
        <w:t xml:space="preserve">   </w:t>
      </w:r>
      <w:r>
        <w:rPr>
          <w:rFonts w:hint="eastAsia" w:ascii="宋体" w:hAnsi="宋体"/>
          <w:sz w:val="24"/>
          <w:szCs w:val="24"/>
          <w:lang w:val="en-US" w:eastAsia="zh-CN"/>
        </w:rPr>
        <w:t>吨</w:t>
      </w:r>
      <w:r>
        <w:rPr>
          <w:rFonts w:hint="eastAsia" w:ascii="宋体" w:hAnsi="宋体"/>
          <w:sz w:val="24"/>
          <w:szCs w:val="24"/>
        </w:rPr>
        <w:t>，单价</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sz w:val="24"/>
          <w:szCs w:val="24"/>
        </w:rPr>
        <w:t>元/吨（</w:t>
      </w:r>
      <w:r>
        <w:rPr>
          <w:rFonts w:hint="eastAsia" w:ascii="宋体" w:hAnsi="宋体"/>
          <w:sz w:val="24"/>
          <w:szCs w:val="24"/>
          <w:lang w:val="en-US" w:eastAsia="zh-CN"/>
        </w:rPr>
        <w:t>乙方开具6%增值税发票</w:t>
      </w:r>
      <w:r>
        <w:rPr>
          <w:rFonts w:hint="eastAsia" w:ascii="宋体" w:hAnsi="宋体"/>
          <w:sz w:val="24"/>
          <w:szCs w:val="24"/>
        </w:rPr>
        <w:t>）</w:t>
      </w:r>
      <w:r>
        <w:rPr>
          <w:rFonts w:hint="eastAsia" w:ascii="宋体" w:hAnsi="宋体"/>
          <w:sz w:val="24"/>
          <w:szCs w:val="24"/>
          <w:lang w:eastAsia="zh-CN"/>
        </w:rPr>
        <w:t>，按实结算</w:t>
      </w:r>
      <w:r>
        <w:rPr>
          <w:rFonts w:hint="eastAsia" w:ascii="宋体" w:hAnsi="宋体"/>
          <w:sz w:val="24"/>
          <w:szCs w:val="24"/>
        </w:rPr>
        <w:t>。</w:t>
      </w:r>
      <w:r>
        <w:rPr>
          <w:rFonts w:hint="eastAsia" w:ascii="宋体" w:hAnsi="宋体"/>
          <w:sz w:val="24"/>
          <w:szCs w:val="24"/>
          <w:highlight w:val="none"/>
          <w:lang w:val="en-US" w:eastAsia="zh-CN"/>
        </w:rPr>
        <w:t>此价格包括炉渣码头中转服务费</w:t>
      </w:r>
      <w:r>
        <w:rPr>
          <w:rFonts w:hint="eastAsia" w:ascii="宋体" w:hAnsi="宋体"/>
          <w:sz w:val="24"/>
          <w:szCs w:val="24"/>
          <w:highlight w:val="none"/>
        </w:rPr>
        <w:t>，炉渣由</w:t>
      </w:r>
      <w:r>
        <w:rPr>
          <w:rFonts w:hint="eastAsia" w:ascii="宋体" w:hAnsi="宋体"/>
          <w:sz w:val="24"/>
          <w:szCs w:val="24"/>
          <w:highlight w:val="none"/>
          <w:lang w:val="en-US" w:eastAsia="zh-CN"/>
        </w:rPr>
        <w:t>乙方</w:t>
      </w:r>
      <w:r>
        <w:rPr>
          <w:rFonts w:hint="eastAsia" w:ascii="宋体" w:hAnsi="宋体"/>
          <w:sz w:val="24"/>
          <w:szCs w:val="24"/>
          <w:highlight w:val="none"/>
        </w:rPr>
        <w:t>自提，装车时间为每天8:00-16:00。</w:t>
      </w:r>
    </w:p>
    <w:p>
      <w:pPr>
        <w:overflowPunct w:val="0"/>
        <w:adjustRightInd w:val="0"/>
        <w:snapToGrid w:val="0"/>
        <w:spacing w:line="360" w:lineRule="auto"/>
        <w:ind w:firstLine="480" w:firstLineChars="200"/>
        <w:rPr>
          <w:rFonts w:hint="eastAsia" w:ascii="宋体" w:hAnsi="宋体"/>
          <w:sz w:val="24"/>
          <w:szCs w:val="24"/>
        </w:rPr>
      </w:pPr>
      <w:r>
        <w:rPr>
          <w:rFonts w:hint="eastAsia" w:ascii="宋体" w:hAnsi="宋体"/>
          <w:sz w:val="24"/>
          <w:szCs w:val="24"/>
          <w:lang w:val="en-US" w:eastAsia="zh-CN"/>
        </w:rPr>
        <w:t>2</w:t>
      </w:r>
      <w:r>
        <w:rPr>
          <w:rFonts w:hint="eastAsia" w:ascii="宋体" w:hAnsi="宋体"/>
          <w:sz w:val="24"/>
          <w:szCs w:val="24"/>
        </w:rPr>
        <w:t>.在合同期内，乙方应服从甲方管理，遵守甲方相关规章制度，对乙方违反甲方管理要求、由于乙方自身原因</w:t>
      </w:r>
      <w:r>
        <w:rPr>
          <w:rFonts w:hint="eastAsia" w:ascii="宋体" w:hAnsi="宋体"/>
          <w:sz w:val="24"/>
          <w:szCs w:val="24"/>
          <w:lang w:eastAsia="zh-CN"/>
        </w:rPr>
        <w:t>出现违反甲方管理规定的</w:t>
      </w:r>
      <w:r>
        <w:rPr>
          <w:rFonts w:hint="eastAsia" w:ascii="宋体" w:hAnsi="宋体"/>
          <w:sz w:val="24"/>
          <w:szCs w:val="24"/>
        </w:rPr>
        <w:t>情况，甲方有权对乙方进行考核，直至终止合同。</w:t>
      </w:r>
    </w:p>
    <w:p>
      <w:pPr>
        <w:overflowPunct w:val="0"/>
        <w:adjustRightInd w:val="0"/>
        <w:snapToGrid w:val="0"/>
        <w:spacing w:line="360" w:lineRule="auto"/>
        <w:ind w:firstLine="480" w:firstLineChars="200"/>
        <w:rPr>
          <w:rFonts w:hint="eastAsia"/>
        </w:rPr>
      </w:pPr>
      <w:r>
        <w:rPr>
          <w:rFonts w:hint="eastAsia" w:ascii="宋体" w:hAnsi="宋体"/>
          <w:sz w:val="24"/>
          <w:szCs w:val="24"/>
          <w:lang w:val="en-US" w:eastAsia="zh-CN"/>
        </w:rPr>
        <w:t>3.炉渣颗粒度、硬度</w:t>
      </w:r>
      <w:r>
        <w:rPr>
          <w:rFonts w:hint="eastAsia" w:ascii="宋体" w:hAnsi="宋体"/>
          <w:sz w:val="24"/>
          <w:szCs w:val="24"/>
          <w:lang w:eastAsia="zh-CN"/>
        </w:rPr>
        <w:t>、成分</w:t>
      </w:r>
      <w:r>
        <w:rPr>
          <w:rFonts w:hint="eastAsia" w:ascii="宋体" w:hAnsi="宋体"/>
          <w:sz w:val="24"/>
          <w:szCs w:val="24"/>
          <w:lang w:val="en-US" w:eastAsia="zh-CN"/>
        </w:rPr>
        <w:t>及颜色因燃煤及燃烧方式不同而变化，招标方对炉渣稳定性不作承诺，炉渣表面水份在20%～37%区间，以上指标仅作为参考,因炉渣受诸多因素影响，会产生部分不符合以上指标范围的炉渣，乙方必须接受。</w:t>
      </w:r>
    </w:p>
    <w:p>
      <w:pPr>
        <w:overflowPunct w:val="0"/>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三、计量方式和交付地点</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1.以甲方电子汽车衡称重计量作为结算依据。</w:t>
      </w:r>
    </w:p>
    <w:p>
      <w:pPr>
        <w:overflowPunct w:val="0"/>
        <w:adjustRightInd w:val="0"/>
        <w:snapToGrid w:val="0"/>
        <w:spacing w:line="360" w:lineRule="auto"/>
        <w:ind w:firstLine="480" w:firstLineChars="200"/>
        <w:rPr>
          <w:rFonts w:ascii="宋体" w:hAnsi="宋体"/>
          <w:sz w:val="24"/>
          <w:szCs w:val="24"/>
        </w:rPr>
      </w:pPr>
      <w:r>
        <w:rPr>
          <w:rFonts w:hint="eastAsia" w:ascii="宋体" w:hAnsi="宋体"/>
          <w:color w:val="000000"/>
          <w:sz w:val="24"/>
          <w:szCs w:val="24"/>
        </w:rPr>
        <w:t>2.交付地点：甲方指定区域</w:t>
      </w:r>
      <w:r>
        <w:rPr>
          <w:rFonts w:hint="eastAsia" w:ascii="宋体" w:hAnsi="宋体"/>
          <w:color w:val="000000"/>
          <w:sz w:val="24"/>
          <w:szCs w:val="24"/>
          <w:lang w:eastAsia="zh-CN"/>
        </w:rPr>
        <w:t>，由乙方自提</w:t>
      </w:r>
      <w:r>
        <w:rPr>
          <w:rFonts w:hint="eastAsia" w:ascii="宋体" w:hAnsi="宋体"/>
          <w:color w:val="000000"/>
          <w:sz w:val="24"/>
          <w:szCs w:val="24"/>
        </w:rPr>
        <w:t>。</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四、费用结算和支付方式</w:t>
      </w:r>
    </w:p>
    <w:p>
      <w:pPr>
        <w:overflowPunct w:val="0"/>
        <w:adjustRightInd w:val="0"/>
        <w:snapToGrid w:val="0"/>
        <w:spacing w:line="360" w:lineRule="auto"/>
        <w:ind w:firstLine="480" w:firstLineChars="200"/>
        <w:rPr>
          <w:rFonts w:asciiTheme="minorEastAsia" w:hAnsiTheme="minorEastAsia"/>
          <w:sz w:val="24"/>
          <w:szCs w:val="24"/>
        </w:rPr>
      </w:pPr>
      <w:r>
        <w:rPr>
          <w:rFonts w:hint="eastAsia" w:ascii="宋体" w:hAnsi="宋体"/>
          <w:sz w:val="24"/>
          <w:szCs w:val="24"/>
        </w:rPr>
        <w:t>1.</w:t>
      </w:r>
      <w:r>
        <w:rPr>
          <w:rFonts w:hint="eastAsia" w:ascii="宋体" w:hAnsi="宋体"/>
          <w:sz w:val="24"/>
          <w:szCs w:val="24"/>
          <w:shd w:val="clear"/>
        </w:rPr>
        <w:t>乙方应于合同签订后</w:t>
      </w:r>
      <w:r>
        <w:rPr>
          <w:rFonts w:hint="eastAsia" w:ascii="宋体" w:hAnsi="宋体"/>
          <w:sz w:val="24"/>
          <w:szCs w:val="24"/>
          <w:shd w:val="clear"/>
          <w:lang w:val="en-US" w:eastAsia="zh-CN"/>
        </w:rPr>
        <w:t>2</w:t>
      </w:r>
      <w:r>
        <w:rPr>
          <w:rFonts w:hint="eastAsia" w:ascii="宋体" w:hAnsi="宋体"/>
          <w:sz w:val="24"/>
          <w:szCs w:val="24"/>
          <w:shd w:val="clear"/>
        </w:rPr>
        <w:t>个工作日内</w:t>
      </w:r>
      <w:r>
        <w:rPr>
          <w:rFonts w:hint="eastAsia" w:ascii="宋体" w:hAnsi="宋体"/>
          <w:sz w:val="24"/>
          <w:szCs w:val="24"/>
          <w:shd w:val="clear"/>
          <w:lang w:eastAsia="zh-CN"/>
        </w:rPr>
        <w:t>支付履约保证金</w:t>
      </w:r>
      <w:r>
        <w:rPr>
          <w:rFonts w:hint="eastAsia" w:ascii="宋体" w:hAnsi="宋体"/>
          <w:sz w:val="24"/>
          <w:szCs w:val="24"/>
          <w:u w:val="single"/>
          <w:shd w:val="clear"/>
          <w:lang w:val="en-US" w:eastAsia="zh-CN"/>
        </w:rPr>
        <w:t xml:space="preserve">     </w:t>
      </w:r>
      <w:r>
        <w:rPr>
          <w:rFonts w:hint="eastAsia" w:ascii="宋体" w:hAnsi="宋体"/>
          <w:sz w:val="24"/>
          <w:szCs w:val="24"/>
          <w:u w:val="none"/>
          <w:shd w:val="clear"/>
          <w:lang w:val="en-US" w:eastAsia="zh-CN"/>
        </w:rPr>
        <w:t>元(合同总价的10%)</w:t>
      </w:r>
      <w:r>
        <w:rPr>
          <w:rFonts w:hint="eastAsia" w:ascii="宋体" w:hAnsi="宋体"/>
          <w:sz w:val="24"/>
          <w:szCs w:val="24"/>
          <w:shd w:val="clear"/>
        </w:rPr>
        <w:t>。</w:t>
      </w:r>
      <w:r>
        <w:rPr>
          <w:rFonts w:hint="eastAsia" w:ascii="宋体" w:hAnsi="宋体"/>
          <w:sz w:val="24"/>
          <w:szCs w:val="24"/>
          <w:shd w:val="clear"/>
          <w:lang w:eastAsia="zh-CN"/>
        </w:rPr>
        <w:t>履约保证金</w:t>
      </w:r>
      <w:r>
        <w:rPr>
          <w:rFonts w:ascii="宋体" w:hAnsi="宋体"/>
          <w:sz w:val="24"/>
          <w:szCs w:val="24"/>
        </w:rPr>
        <w:t>采用</w:t>
      </w:r>
      <w:r>
        <w:rPr>
          <w:rFonts w:hint="eastAsia" w:ascii="宋体" w:hAnsi="宋体"/>
          <w:sz w:val="24"/>
          <w:szCs w:val="24"/>
        </w:rPr>
        <w:t>转帐</w:t>
      </w:r>
      <w:r>
        <w:rPr>
          <w:rFonts w:ascii="宋体" w:hAnsi="宋体"/>
          <w:sz w:val="24"/>
          <w:szCs w:val="24"/>
        </w:rPr>
        <w:t>形式</w:t>
      </w:r>
      <w:r>
        <w:rPr>
          <w:rFonts w:hint="eastAsia" w:ascii="宋体" w:hAnsi="宋体" w:cs="宋体"/>
          <w:sz w:val="24"/>
          <w:szCs w:val="24"/>
          <w:lang w:val="zh-CN"/>
        </w:rPr>
        <w:t>汇入甲方指定账户（以到甲方的账户为准），待合同期满后45天内无息退还。</w:t>
      </w:r>
    </w:p>
    <w:p>
      <w:pPr>
        <w:autoSpaceDE w:val="0"/>
        <w:autoSpaceDN w:val="0"/>
        <w:adjustRightInd w:val="0"/>
        <w:snapToGrid w:val="0"/>
        <w:spacing w:before="43" w:line="360" w:lineRule="auto"/>
        <w:ind w:firstLine="567"/>
        <w:rPr>
          <w:rFonts w:asciiTheme="minorEastAsia" w:hAnsiTheme="minorEastAsia"/>
          <w:sz w:val="24"/>
          <w:szCs w:val="24"/>
          <w:lang w:val="zh-CN"/>
        </w:rPr>
      </w:pPr>
      <w:r>
        <w:rPr>
          <w:rFonts w:hint="eastAsia" w:ascii="宋体" w:hAnsi="宋体" w:cs="宋体"/>
          <w:sz w:val="24"/>
          <w:szCs w:val="24"/>
          <w:lang w:val="en-US" w:eastAsia="zh-CN"/>
        </w:rPr>
        <w:t>2</w:t>
      </w:r>
      <w:r>
        <w:rPr>
          <w:rFonts w:hint="eastAsia" w:ascii="宋体" w:hAnsi="宋体" w:cs="宋体"/>
          <w:sz w:val="24"/>
          <w:szCs w:val="24"/>
        </w:rPr>
        <w:t>.</w:t>
      </w:r>
      <w:r>
        <w:rPr>
          <w:rFonts w:hint="eastAsia" w:ascii="宋体" w:hAnsi="宋体" w:cs="宋体"/>
          <w:sz w:val="24"/>
          <w:szCs w:val="24"/>
          <w:lang w:val="zh-CN"/>
        </w:rPr>
        <w:t>甲乙双方每月</w:t>
      </w:r>
      <w:r>
        <w:rPr>
          <w:rFonts w:hint="eastAsia" w:ascii="宋体" w:hAnsi="宋体" w:cs="宋体"/>
          <w:sz w:val="24"/>
          <w:szCs w:val="24"/>
        </w:rPr>
        <w:t>1日</w:t>
      </w:r>
      <w:r>
        <w:rPr>
          <w:rFonts w:hint="eastAsia" w:ascii="宋体" w:hAnsi="宋体" w:cs="宋体"/>
          <w:sz w:val="24"/>
          <w:szCs w:val="24"/>
          <w:lang w:val="zh-CN"/>
        </w:rPr>
        <w:t>进行对账结算并由乙方开具发</w:t>
      </w:r>
      <w:r>
        <w:rPr>
          <w:rFonts w:hint="eastAsia" w:asciiTheme="minorEastAsia" w:hAnsiTheme="minorEastAsia"/>
          <w:sz w:val="24"/>
          <w:szCs w:val="24"/>
          <w:lang w:val="zh-CN"/>
        </w:rPr>
        <w:t>票</w:t>
      </w:r>
      <w:r>
        <w:rPr>
          <w:rFonts w:hint="eastAsia" w:asciiTheme="minorEastAsia" w:hAnsiTheme="minorEastAsia"/>
          <w:sz w:val="24"/>
          <w:szCs w:val="24"/>
          <w:lang w:val="en-US" w:eastAsia="zh-CN"/>
        </w:rPr>
        <w:t>,</w:t>
      </w:r>
      <w:r>
        <w:rPr>
          <w:rFonts w:hint="eastAsia" w:asciiTheme="minorEastAsia" w:hAnsiTheme="minorEastAsia"/>
          <w:sz w:val="24"/>
          <w:szCs w:val="24"/>
          <w:lang w:val="zh-CN" w:eastAsia="zh-CN"/>
        </w:rPr>
        <w:t>合同期满后45天内甲方支付处置服务费</w:t>
      </w:r>
      <w:r>
        <w:rPr>
          <w:rFonts w:hint="eastAsia" w:asciiTheme="minorEastAsia" w:hAnsiTheme="minorEastAsia"/>
          <w:sz w:val="24"/>
          <w:szCs w:val="24"/>
          <w:lang w:val="zh-CN"/>
        </w:rPr>
        <w:t>。</w:t>
      </w:r>
    </w:p>
    <w:p>
      <w:pPr>
        <w:autoSpaceDE w:val="0"/>
        <w:autoSpaceDN w:val="0"/>
        <w:adjustRightInd w:val="0"/>
        <w:snapToGrid w:val="0"/>
        <w:spacing w:before="43" w:line="360" w:lineRule="auto"/>
        <w:ind w:firstLine="567"/>
        <w:rPr>
          <w:rFonts w:hint="eastAsia" w:ascii="宋体" w:hAnsi="宋体" w:cs="宋体"/>
          <w:sz w:val="24"/>
          <w:szCs w:val="24"/>
          <w:lang w:val="zh-CN" w:eastAsia="zh-CN"/>
        </w:rPr>
      </w:pPr>
      <w:r>
        <w:rPr>
          <w:rFonts w:hint="eastAsia" w:ascii="宋体" w:hAnsi="宋体" w:cs="宋体"/>
          <w:sz w:val="24"/>
          <w:szCs w:val="24"/>
          <w:lang w:val="en-US" w:eastAsia="zh-CN"/>
        </w:rPr>
        <w:t>3</w:t>
      </w:r>
      <w:r>
        <w:rPr>
          <w:rFonts w:hint="eastAsia" w:ascii="宋体" w:hAnsi="宋体" w:cs="宋体"/>
          <w:sz w:val="24"/>
          <w:szCs w:val="24"/>
          <w:lang w:val="zh-CN" w:eastAsia="zh-CN"/>
        </w:rPr>
        <w:t>.当月处置服务费用=∑当月实际取得的</w:t>
      </w:r>
      <w:r>
        <w:rPr>
          <w:rFonts w:hint="eastAsia"/>
          <w:color w:val="000000"/>
          <w:sz w:val="24"/>
          <w:szCs w:val="24"/>
          <w:lang w:eastAsia="zh-CN"/>
        </w:rPr>
        <w:t>炉渣</w:t>
      </w:r>
      <w:r>
        <w:rPr>
          <w:rFonts w:hint="eastAsia" w:ascii="宋体" w:hAnsi="宋体" w:cs="宋体"/>
          <w:sz w:val="24"/>
          <w:szCs w:val="24"/>
          <w:lang w:val="zh-CN" w:eastAsia="zh-CN"/>
        </w:rPr>
        <w:t>数量×单价。</w:t>
      </w:r>
    </w:p>
    <w:p>
      <w:pPr>
        <w:autoSpaceDE w:val="0"/>
        <w:autoSpaceDN w:val="0"/>
        <w:adjustRightInd w:val="0"/>
        <w:snapToGrid w:val="0"/>
        <w:spacing w:before="43" w:line="360" w:lineRule="auto"/>
        <w:ind w:firstLine="567"/>
        <w:rPr>
          <w:rFonts w:hint="eastAsia"/>
          <w:sz w:val="24"/>
          <w:szCs w:val="24"/>
          <w:lang w:val="zh-CN" w:eastAsia="zh-CN"/>
        </w:rPr>
      </w:pPr>
      <w:r>
        <w:rPr>
          <w:rFonts w:hint="eastAsia" w:ascii="宋体" w:hAnsi="宋体" w:cs="宋体"/>
          <w:sz w:val="24"/>
          <w:szCs w:val="24"/>
          <w:lang w:val="en-US" w:eastAsia="zh-CN"/>
        </w:rPr>
        <w:t>4</w:t>
      </w:r>
      <w:r>
        <w:rPr>
          <w:rFonts w:hint="eastAsia" w:ascii="宋体" w:hAnsi="宋体" w:cs="宋体"/>
          <w:sz w:val="24"/>
          <w:szCs w:val="24"/>
          <w:lang w:val="zh-CN" w:eastAsia="zh-CN"/>
        </w:rPr>
        <w:t>.每月结算日期为自然月，即从本月1日起至本月最后一日。</w:t>
      </w:r>
    </w:p>
    <w:p>
      <w:pPr>
        <w:overflowPunct w:val="0"/>
        <w:autoSpaceDE/>
        <w:autoSpaceDN/>
        <w:spacing w:before="0" w:line="360" w:lineRule="auto"/>
        <w:ind w:firstLine="480"/>
        <w:rPr>
          <w:rFonts w:hint="eastAsia"/>
          <w:sz w:val="24"/>
          <w:szCs w:val="24"/>
          <w:lang w:val="zh-CN" w:eastAsia="zh-CN"/>
        </w:rPr>
      </w:pPr>
      <w:r>
        <w:rPr>
          <w:rFonts w:hint="eastAsia"/>
          <w:sz w:val="24"/>
          <w:szCs w:val="24"/>
          <w:lang w:val="zh-CN" w:eastAsia="zh-CN"/>
        </w:rPr>
        <w:t>五、运输责任</w:t>
      </w:r>
    </w:p>
    <w:p>
      <w:pPr>
        <w:overflowPunct w:val="0"/>
        <w:autoSpaceDE/>
        <w:autoSpaceDN/>
        <w:spacing w:before="0" w:line="360" w:lineRule="auto"/>
        <w:ind w:firstLine="480"/>
        <w:rPr>
          <w:rFonts w:hint="eastAsia"/>
          <w:sz w:val="24"/>
          <w:szCs w:val="24"/>
          <w:lang w:val="en-US" w:eastAsia="zh-CN"/>
        </w:rPr>
      </w:pPr>
      <w:r>
        <w:rPr>
          <w:rFonts w:hint="eastAsia"/>
          <w:sz w:val="24"/>
          <w:szCs w:val="24"/>
          <w:lang w:val="zh-CN" w:eastAsia="zh-CN"/>
        </w:rPr>
        <w:t>为确保安全生产，乙方运输车辆驾驶员须经过甲方的安全培训，考试合格发证后方能进厂。如乙方对运输驾驶员进行调整，则需对新调换的驾驶员重新培训。运输车辆在厂内行驶和装卸时必须遵守电厂的有关规定，服从现场管理人员的调度。对不服从现场管理的运输车辆将终止其进厂装货的权利。乙方需核对装运信息卡，如未按要求执行，甲方有权进行考核，如重复发生，甲方有权双倍考核或取消该车辆驾驶员装运资格。</w:t>
      </w:r>
    </w:p>
    <w:p>
      <w:pPr>
        <w:overflowPunct w:val="0"/>
        <w:autoSpaceDE/>
        <w:autoSpaceDN/>
        <w:spacing w:before="0" w:line="360" w:lineRule="auto"/>
        <w:ind w:firstLine="480"/>
        <w:rPr>
          <w:rFonts w:hint="eastAsia" w:eastAsiaTheme="minorEastAsia"/>
          <w:sz w:val="24"/>
          <w:szCs w:val="24"/>
          <w:lang w:val="en-US" w:eastAsia="zh-CN"/>
        </w:rPr>
      </w:pPr>
      <w:r>
        <w:rPr>
          <w:rFonts w:hint="eastAsia"/>
          <w:sz w:val="24"/>
          <w:szCs w:val="24"/>
          <w:lang w:val="zh-CN" w:eastAsia="zh-CN"/>
        </w:rPr>
        <w:t>乙方应自备符合市政、市容、道路交通、环保等要求的运输工具，并承担全部运输及相关费用，甲方将根据车辆</w:t>
      </w:r>
      <w:r>
        <w:rPr>
          <w:rFonts w:hint="eastAsia"/>
          <w:kern w:val="0"/>
          <w:sz w:val="24"/>
          <w:szCs w:val="24"/>
          <w:lang w:eastAsia="zh-CN"/>
        </w:rPr>
        <w:t>行驶证的载重量严格控制装运吨位数。</w:t>
      </w:r>
      <w:r>
        <w:rPr>
          <w:rFonts w:hint="eastAsia"/>
          <w:sz w:val="24"/>
          <w:szCs w:val="24"/>
          <w:lang w:eastAsia="zh-CN"/>
        </w:rPr>
        <w:t>因炉渣的顺利清运与否直接影响甲方的正常生产，如遇特殊情况，甲方有权调配炉渣的清运，乙方应予配合。</w:t>
      </w:r>
    </w:p>
    <w:p>
      <w:pPr>
        <w:overflowPunct w:val="0"/>
        <w:spacing w:line="360" w:lineRule="auto"/>
        <w:ind w:firstLine="480"/>
        <w:rPr>
          <w:rFonts w:hint="eastAsia"/>
          <w:sz w:val="24"/>
          <w:szCs w:val="24"/>
          <w:lang w:eastAsia="zh-CN"/>
        </w:rPr>
      </w:pPr>
      <w:r>
        <w:rPr>
          <w:rFonts w:hint="eastAsia" w:ascii="宋体" w:hAnsi="宋体" w:eastAsia="宋体" w:cs="宋体"/>
          <w:b w:val="0"/>
          <w:bCs w:val="0"/>
          <w:sz w:val="24"/>
          <w:szCs w:val="24"/>
          <w:lang w:eastAsia="zh-CN"/>
        </w:rPr>
        <w:t>乙方应与该项目的所有用工人员按规定签订劳动合同，并依法购买相应的</w:t>
      </w:r>
      <w:r>
        <w:rPr>
          <w:rFonts w:hint="eastAsia" w:asciiTheme="minorEastAsia" w:hAnsiTheme="minorEastAsia" w:cstheme="minorEastAsia"/>
          <w:b w:val="0"/>
          <w:bCs w:val="0"/>
          <w:sz w:val="24"/>
          <w:szCs w:val="24"/>
          <w:lang w:eastAsia="zh-CN"/>
        </w:rPr>
        <w:t>社会保险和</w:t>
      </w:r>
      <w:r>
        <w:rPr>
          <w:rFonts w:hint="eastAsia"/>
          <w:sz w:val="24"/>
          <w:szCs w:val="24"/>
          <w:lang w:eastAsia="zh-CN"/>
        </w:rPr>
        <w:t>意外保险；履行合同过程中，发生的一切用工方面的劳动人资纠纷和政府用工人资政策调整均与甲方无关。</w:t>
      </w:r>
    </w:p>
    <w:p>
      <w:pPr>
        <w:overflowPunct w:val="0"/>
        <w:spacing w:line="360" w:lineRule="auto"/>
        <w:ind w:firstLine="480"/>
        <w:rPr>
          <w:rFonts w:hint="eastAsia"/>
          <w:sz w:val="24"/>
          <w:szCs w:val="24"/>
          <w:lang w:eastAsia="zh-CN"/>
        </w:rPr>
      </w:pPr>
      <w:r>
        <w:rPr>
          <w:rFonts w:hint="eastAsia"/>
          <w:sz w:val="24"/>
          <w:szCs w:val="24"/>
          <w:lang w:eastAsia="zh-CN"/>
        </w:rPr>
        <w:t>六、双方的权利和义务</w:t>
      </w:r>
    </w:p>
    <w:p>
      <w:pPr>
        <w:overflowPunct w:val="0"/>
        <w:spacing w:line="360" w:lineRule="auto"/>
        <w:ind w:firstLine="480"/>
        <w:rPr>
          <w:sz w:val="24"/>
          <w:szCs w:val="24"/>
          <w:lang w:eastAsia="zh-CN"/>
        </w:rPr>
      </w:pPr>
      <w:r>
        <w:rPr>
          <w:rFonts w:hint="eastAsia"/>
          <w:sz w:val="24"/>
          <w:szCs w:val="24"/>
          <w:lang w:eastAsia="zh-CN"/>
        </w:rPr>
        <w:t>1.甲乙双方有权按本合同条款督促对方执行合同内容。</w:t>
      </w:r>
    </w:p>
    <w:p>
      <w:pPr>
        <w:overflowPunct w:val="0"/>
        <w:spacing w:line="360" w:lineRule="auto"/>
        <w:ind w:firstLine="480"/>
        <w:rPr>
          <w:sz w:val="24"/>
          <w:szCs w:val="24"/>
          <w:lang w:eastAsia="zh-CN"/>
        </w:rPr>
      </w:pPr>
      <w:r>
        <w:rPr>
          <w:rFonts w:hint="eastAsia"/>
          <w:sz w:val="24"/>
          <w:szCs w:val="24"/>
          <w:lang w:eastAsia="zh-CN"/>
        </w:rPr>
        <w:t>2.</w:t>
      </w:r>
      <w:r>
        <w:rPr>
          <w:rFonts w:hint="eastAsia" w:ascii="宋体" w:hAnsi="宋体" w:eastAsia="宋体" w:cs="宋体"/>
          <w:b w:val="0"/>
          <w:bCs w:val="0"/>
          <w:sz w:val="24"/>
          <w:szCs w:val="24"/>
          <w:lang w:eastAsia="zh-CN"/>
        </w:rPr>
        <w:t>乙方应设置独立的组织机构，配备足够的人员，持证上岗并接受甲方监督。从事国家规定的特种作业，工作人员应具有相应的职业资格证书、特种作业操作证等国家规定的证件。</w:t>
      </w:r>
      <w:r>
        <w:rPr>
          <w:rFonts w:hint="eastAsia"/>
          <w:sz w:val="24"/>
          <w:szCs w:val="24"/>
          <w:lang w:eastAsia="zh-CN"/>
        </w:rPr>
        <w:t>甲方有权监督管理乙方在甲方作业场所工作人员和车辆的作业安全，当乙方违反甲方规章制度，甲方有权进行处罚或终止本合同。</w:t>
      </w:r>
    </w:p>
    <w:p>
      <w:pPr>
        <w:overflowPunct w:val="0"/>
        <w:spacing w:line="360" w:lineRule="auto"/>
        <w:ind w:firstLine="480"/>
        <w:rPr>
          <w:sz w:val="24"/>
          <w:szCs w:val="24"/>
          <w:lang w:eastAsia="zh-CN"/>
        </w:rPr>
      </w:pPr>
      <w:r>
        <w:rPr>
          <w:rFonts w:hint="eastAsia"/>
          <w:sz w:val="24"/>
          <w:szCs w:val="24"/>
          <w:lang w:eastAsia="zh-CN"/>
        </w:rPr>
        <w:t>3.当乙方不能履行本合同时，甲方有权强制处理或终止本合同，并保留追溯的权利，乙方应当按照甲方强制处理的价格与本合同的价格差承担违约金。</w:t>
      </w:r>
    </w:p>
    <w:p>
      <w:pPr>
        <w:overflowPunct w:val="0"/>
        <w:spacing w:line="360" w:lineRule="auto"/>
        <w:ind w:firstLine="480"/>
        <w:rPr>
          <w:sz w:val="24"/>
          <w:szCs w:val="24"/>
          <w:lang w:eastAsia="zh-CN"/>
        </w:rPr>
      </w:pPr>
      <w:r>
        <w:rPr>
          <w:rFonts w:hint="eastAsia"/>
          <w:sz w:val="24"/>
          <w:szCs w:val="24"/>
          <w:lang w:eastAsia="zh-CN"/>
        </w:rPr>
        <w:t>4.乙方运输车辆和驾驶员应按甲方规定办理进入现场手续、车辆通行证，乙方车辆在厂区及厂区周围行驶速度和路线必须按规定执行。若发生交通事故、损坏设施、设备及人身伤亡等事故，由乙方全部负责，甲方有权立即解除合同并追究乙方法律责任。</w:t>
      </w:r>
    </w:p>
    <w:p>
      <w:pPr>
        <w:overflowPunct w:val="0"/>
        <w:spacing w:line="360" w:lineRule="auto"/>
        <w:ind w:firstLine="480"/>
        <w:rPr>
          <w:rFonts w:hint="eastAsia"/>
          <w:sz w:val="24"/>
          <w:szCs w:val="24"/>
          <w:lang w:eastAsia="zh-CN"/>
        </w:rPr>
      </w:pPr>
      <w:r>
        <w:rPr>
          <w:rFonts w:hint="eastAsia"/>
          <w:sz w:val="24"/>
          <w:szCs w:val="24"/>
          <w:lang w:eastAsia="zh-CN"/>
        </w:rPr>
        <w:t>5.乙方应严格遵守甲方各项规章制度，执行双方签署的合同，服从甲方的装运调度和协调。</w:t>
      </w:r>
      <w:r>
        <w:rPr>
          <w:rFonts w:hint="eastAsia" w:ascii="宋体" w:hAnsi="宋体" w:eastAsia="宋体" w:cs="宋体"/>
          <w:b w:val="0"/>
          <w:bCs w:val="0"/>
          <w:sz w:val="24"/>
          <w:szCs w:val="24"/>
          <w:lang w:eastAsia="zh-CN"/>
        </w:rPr>
        <w:t>乙方车辆应符合国家运输管理部门的相关要求及国家的法律法规，车辆、人员进出需严格执行甲方制定的行车路线及要求。车辆到达装车区域后，乙方按流程完成装车、称重等过程，如违反规定的，甲方有权停止装运工作并进行考核。现场装、运时，乙方应听从甲方的调度安排，如遇设备故障、临时调</w:t>
      </w:r>
      <w:r>
        <w:rPr>
          <w:rFonts w:hint="eastAsia"/>
          <w:sz w:val="24"/>
          <w:szCs w:val="24"/>
          <w:lang w:eastAsia="zh-CN"/>
        </w:rPr>
        <w:t>整等原因需要停止装车时，应听从甲方管理部门的管理，服从安排。</w:t>
      </w:r>
    </w:p>
    <w:p>
      <w:pPr>
        <w:overflowPunct w:val="0"/>
        <w:spacing w:line="360" w:lineRule="auto"/>
        <w:ind w:firstLine="480"/>
        <w:rPr>
          <w:rFonts w:hint="eastAsia"/>
          <w:sz w:val="24"/>
          <w:szCs w:val="24"/>
          <w:lang w:eastAsia="zh-CN"/>
        </w:rPr>
      </w:pPr>
      <w:r>
        <w:rPr>
          <w:rFonts w:hint="eastAsia"/>
          <w:sz w:val="24"/>
          <w:szCs w:val="24"/>
          <w:lang w:eastAsia="zh-CN"/>
        </w:rPr>
        <w:t>乙方运输船舶必须适航、严禁超载，船舶状况良好，配员满足海事相关要求；必须严格执行海事、太仓港口管委会有关船舶污染物处置、岸电使用相关规定；靠泊码头期间，必须遵守码头相关管理规定，造成码头设施损坏，照价赔偿；运输船舶必须由代理公司进行海事报港，海事批复后方可装货。乙方在运输船舶到达长江口锚地或甲方码头前48小时，将船舶相关资料以邮件、微信等方式提供给甲方，到达太仓锚地前24小时将委托书以传真方式或当面送达甲方。甲方应根据乙方提供的运输船舶船位、船体资料、到港日期和时刻，做好船舶泊港前的各项准备工作，乙方必须遵照甲方调度靠泊装货。乙方运输船舶到达甲方码头指定的泊位后，应及时办理报港手续，相关手续办妥后，甲方应根据码头靠泊情况及时安排装货，完货后安排船舶离港。乙方运输船舶必须听从甲方调度，除不可抗力外，装船完毕后1小时内应立即离开码头，不得无故延长停泊时间，影响甲方码头正常运转。未经甲方允许延长停泊时间的，甲方将收取停靠费用（船吨位×0.08元/每小时）。乙方在装货前提供有效的装货单给甲方，甲方按照国家现行规定办理装货手续，甲方不承担任何因放货引起的法律责任。乙方在装船过程中，载重车辆要严格按照甲方规定的位置（1000吨码头区域）进行作业，不得停靠在3000吨码头。若乙方不遵守安全规定而导致甲方码头设备设施损坏的，乙方应赔偿甲方由此而产生的全部损失（费用包括但不限于鉴定费、修理费等）。为提高装船效率、降低中转损耗，甲、乙双方应共同把好装卸作业过程中的质量关，提前告知对方有关信息，共同提高装船效率，降低各个环节损耗。在装船、卸车过程中，乙方应派工作人员到现场监督甲方作业，乙方未到场的视作到场。若装船过程中发生直接影响甲方正常生产的情况，甲方有权调度货物的装船，乙方应予以理解和协助配合。乙方须保证甲方码头作业的连续性，在作业过程中因运费纠纷等乙方问题出现船方关仓，导致甲方暂停作业的，乙方须支付甲方1000元/小时补偿金。甲方船舶在港期间，必须控制作业扬尘，造成环境污染的，甲方承担全部责任。甲方作业船舶未按乙方要求控制船舱泄压扬尘，乙方有权停止装船作业，造成损失由甲方负责。</w:t>
      </w:r>
    </w:p>
    <w:p>
      <w:pPr>
        <w:overflowPunct w:val="0"/>
        <w:spacing w:line="360" w:lineRule="auto"/>
        <w:ind w:firstLine="480"/>
        <w:rPr>
          <w:rFonts w:hint="eastAsia" w:ascii="宋体" w:hAnsi="宋体" w:eastAsia="宋体" w:cs="宋体"/>
          <w:b w:val="0"/>
          <w:bCs w:val="0"/>
          <w:sz w:val="24"/>
          <w:szCs w:val="24"/>
          <w:lang w:eastAsia="zh-CN"/>
        </w:rPr>
      </w:pPr>
      <w:r>
        <w:rPr>
          <w:rFonts w:hint="eastAsia"/>
          <w:sz w:val="24"/>
          <w:szCs w:val="24"/>
          <w:lang w:eastAsia="zh-CN"/>
        </w:rPr>
        <w:t>6.乙方在甲方处外运的炉渣最终用途均为综合利用，综合利用率为100%，并保证终端客户（水泥企业、商砼企业、建筑板材企业等）的综合利用满足国家和地方环保政策和规定。乙方必须严格遵守甲方依法制定的环境保护管理各项规章制度和办法（签订本合同前已经告知乙方），加强自身管理，认真履行自身的责任、权利和义务。甲方有权对乙方在装运现场、运输过程及终端使用中遵守环境保护法律法规和落实环保措施的情况进行监督、管理和检查、指导，制止乙方违反环境保护法律、法规的行为，并采取包括罚款、取消作业资格、终止合同等处罚。乙方需安排专人提供炉渣销售的综合利用终端用户情况，配合甲方完成环保部门要求的源头追溯等工作，否则甲方有权进行处罚或终止本合同</w:t>
      </w:r>
      <w:r>
        <w:rPr>
          <w:rFonts w:hint="eastAsia" w:ascii="宋体" w:hAnsi="宋体" w:eastAsia="宋体" w:cs="宋体"/>
          <w:b w:val="0"/>
          <w:bCs w:val="0"/>
          <w:sz w:val="24"/>
          <w:szCs w:val="24"/>
          <w:lang w:eastAsia="zh-CN"/>
        </w:rPr>
        <w:t>。</w:t>
      </w:r>
    </w:p>
    <w:p>
      <w:pPr>
        <w:overflowPunct w:val="0"/>
        <w:adjustRightInd w:val="0"/>
        <w:snapToGrid w:val="0"/>
        <w:spacing w:line="360" w:lineRule="auto"/>
        <w:ind w:firstLine="480"/>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乙方在装运现场涉及到排放粉尘的操作时，必须采取控制措施，防止或减少粉尘排放。如运输车辆环保要求未落实导致炉渣洒落地面时，乙方应立即采取措施对路面进行保洁工作。驶入甲方现场的乙方运输车辆外表应保持整洁，不得有粉尘及泥土等洒落。乙方在装运现场、运输过程及终端使用中如发生环保事故及其他异常情况，除迅速处理外，应即时向甲方报告。抛洒滴落、超载等违章由乙方自行承担。造成严重后果者，移送国家司法机关法律责任。</w:t>
      </w:r>
    </w:p>
    <w:p>
      <w:pPr>
        <w:adjustRightInd w:val="0"/>
        <w:snapToGrid w:val="0"/>
        <w:spacing w:line="360" w:lineRule="auto"/>
        <w:ind w:firstLine="480"/>
        <w:rPr>
          <w:rFonts w:hint="eastAsia" w:asciiTheme="minorEastAsia" w:hAnsiTheme="minorEastAsia" w:eastAsiaTheme="minorEastAsia" w:cstheme="minorEastAsia"/>
          <w:b w:val="0"/>
          <w:bCs w:val="0"/>
          <w:sz w:val="24"/>
          <w:szCs w:val="24"/>
          <w:lang w:eastAsia="zh-CN"/>
        </w:rPr>
      </w:pPr>
      <w:r>
        <w:rPr>
          <w:rFonts w:hint="eastAsia" w:ascii="宋体" w:hAnsi="宋体" w:eastAsia="宋体" w:cs="宋体"/>
          <w:b w:val="0"/>
          <w:bCs w:val="0"/>
          <w:sz w:val="24"/>
          <w:szCs w:val="24"/>
          <w:lang w:eastAsia="zh-CN"/>
        </w:rPr>
        <w:t>因乙方责任存在环保问题不落实整改或整改不及时而受到政府有关部门处罚的，由乙方承担全部责任并承担由此造成的经济损失，</w:t>
      </w:r>
      <w:r>
        <w:rPr>
          <w:rFonts w:hint="eastAsia" w:asciiTheme="minorEastAsia" w:hAnsiTheme="minorEastAsia" w:eastAsiaTheme="minorEastAsia" w:cstheme="minorEastAsia"/>
          <w:b w:val="0"/>
          <w:bCs w:val="0"/>
          <w:sz w:val="24"/>
          <w:szCs w:val="24"/>
          <w:lang w:eastAsia="zh-CN"/>
        </w:rPr>
        <w:t>同时甲方有权因声誉受到影响而</w:t>
      </w:r>
      <w:r>
        <w:rPr>
          <w:rFonts w:hint="eastAsia" w:asciiTheme="minorEastAsia" w:hAnsiTheme="minorEastAsia" w:cstheme="minorEastAsia"/>
          <w:b w:val="0"/>
          <w:bCs w:val="0"/>
          <w:sz w:val="24"/>
          <w:szCs w:val="24"/>
          <w:lang w:eastAsia="zh-CN"/>
        </w:rPr>
        <w:t>要求乙方支付</w:t>
      </w:r>
      <w:r>
        <w:rPr>
          <w:rFonts w:hint="eastAsia" w:asciiTheme="minorEastAsia" w:hAnsiTheme="minorEastAsia" w:eastAsiaTheme="minorEastAsia" w:cstheme="minorEastAsia"/>
          <w:b w:val="0"/>
          <w:bCs w:val="0"/>
          <w:sz w:val="24"/>
          <w:szCs w:val="24"/>
          <w:lang w:eastAsia="zh-CN"/>
        </w:rPr>
        <w:t>2万元违约金</w:t>
      </w:r>
      <w:r>
        <w:rPr>
          <w:rFonts w:hint="eastAsia" w:asciiTheme="minorEastAsia" w:hAnsiTheme="minorEastAsia" w:eastAsiaTheme="minorEastAsia" w:cstheme="minorEastAsia"/>
          <w:b w:val="0"/>
          <w:bCs w:val="0"/>
          <w:sz w:val="24"/>
          <w:szCs w:val="24"/>
          <w:highlight w:val="none"/>
          <w:lang w:val="en-US" w:eastAsia="zh-CN"/>
        </w:rPr>
        <w:t>并</w:t>
      </w:r>
      <w:r>
        <w:rPr>
          <w:rFonts w:hint="eastAsia" w:asciiTheme="minorEastAsia" w:hAnsiTheme="minorEastAsia" w:cstheme="minorEastAsia"/>
          <w:b w:val="0"/>
          <w:bCs w:val="0"/>
          <w:sz w:val="24"/>
          <w:szCs w:val="24"/>
          <w:highlight w:val="none"/>
          <w:lang w:val="en-US" w:eastAsia="zh-CN"/>
        </w:rPr>
        <w:t>有权</w:t>
      </w:r>
      <w:r>
        <w:rPr>
          <w:rFonts w:hint="eastAsia" w:asciiTheme="minorEastAsia" w:hAnsiTheme="minorEastAsia" w:eastAsiaTheme="minorEastAsia" w:cstheme="minorEastAsia"/>
          <w:b w:val="0"/>
          <w:bCs w:val="0"/>
          <w:sz w:val="24"/>
          <w:szCs w:val="24"/>
          <w:highlight w:val="none"/>
          <w:lang w:val="en-US" w:eastAsia="zh-CN"/>
        </w:rPr>
        <w:t>解除合同。</w:t>
      </w:r>
    </w:p>
    <w:p>
      <w:pPr>
        <w:numPr>
          <w:ilvl w:val="0"/>
          <w:numId w:val="1"/>
        </w:numPr>
        <w:overflowPunct w:val="0"/>
        <w:spacing w:line="360" w:lineRule="auto"/>
        <w:ind w:firstLine="480"/>
        <w:rPr>
          <w:rFonts w:hint="eastAsia"/>
          <w:sz w:val="24"/>
          <w:szCs w:val="24"/>
          <w:lang w:eastAsia="zh-CN"/>
        </w:rPr>
      </w:pPr>
      <w:r>
        <w:rPr>
          <w:rFonts w:hint="eastAsia"/>
          <w:sz w:val="24"/>
          <w:szCs w:val="24"/>
          <w:lang w:eastAsia="zh-CN"/>
        </w:rPr>
        <w:t>炉渣拉运计划由甲方根据合同比例进行分配，乙方</w:t>
      </w:r>
      <w:r>
        <w:rPr>
          <w:rFonts w:hint="eastAsia" w:ascii="宋体" w:hAnsi="宋体" w:eastAsia="宋体" w:cs="宋体"/>
          <w:b w:val="0"/>
          <w:bCs w:val="0"/>
          <w:sz w:val="24"/>
          <w:szCs w:val="24"/>
          <w:lang w:eastAsia="zh-CN"/>
        </w:rPr>
        <w:t>及时安排车辆到达指定地点装运并外运炉渣，炉渣装车由乙方负责,装车时间为每日</w:t>
      </w:r>
      <w:r>
        <w:rPr>
          <w:rFonts w:hint="eastAsia" w:ascii="宋体" w:hAnsi="宋体" w:eastAsia="宋体" w:cs="宋体"/>
          <w:b w:val="0"/>
          <w:bCs w:val="0"/>
          <w:sz w:val="24"/>
          <w:szCs w:val="24"/>
          <w:lang w:val="en-US" w:eastAsia="zh-CN"/>
        </w:rPr>
        <w:t>8</w:t>
      </w:r>
      <w:r>
        <w:rPr>
          <w:rFonts w:hint="eastAsia" w:ascii="宋体" w:hAnsi="宋体" w:eastAsia="宋体" w:cs="宋体"/>
          <w:b w:val="0"/>
          <w:bCs w:val="0"/>
          <w:sz w:val="24"/>
          <w:szCs w:val="24"/>
          <w:lang w:eastAsia="zh-CN"/>
        </w:rPr>
        <w:t>点至1</w:t>
      </w:r>
      <w:r>
        <w:rPr>
          <w:rFonts w:hint="eastAsia" w:ascii="宋体" w:hAnsi="宋体" w:eastAsia="宋体" w:cs="宋体"/>
          <w:b w:val="0"/>
          <w:bCs w:val="0"/>
          <w:sz w:val="24"/>
          <w:szCs w:val="24"/>
          <w:lang w:val="en-US" w:eastAsia="zh-CN"/>
        </w:rPr>
        <w:t>6</w:t>
      </w:r>
      <w:r>
        <w:rPr>
          <w:rFonts w:hint="eastAsia" w:ascii="宋体" w:hAnsi="宋体" w:eastAsia="宋体" w:cs="宋体"/>
          <w:b w:val="0"/>
          <w:bCs w:val="0"/>
          <w:sz w:val="24"/>
          <w:szCs w:val="24"/>
          <w:lang w:eastAsia="zh-CN"/>
        </w:rPr>
        <w:t>点。甲方有权根据生产及其它情况调整装车时间（包括夜间），乙方应满足甲方要求。乙方在接到甲方通知后（电话或短信），次日应到甲方库区装运，但乙方在未接到甲方通知的情况下不得随意安排拉运，否则甲方有权拒绝发货。</w:t>
      </w:r>
      <w:r>
        <w:rPr>
          <w:rFonts w:hint="eastAsia" w:ascii="宋体" w:hAnsi="宋体" w:cs="宋体"/>
          <w:b w:val="0"/>
          <w:bCs w:val="0"/>
          <w:sz w:val="24"/>
          <w:szCs w:val="24"/>
          <w:lang w:val="en-US" w:eastAsia="zh-CN"/>
        </w:rPr>
        <w:t>如因乙方原因，造成风险，甲方有权采取应急措施或者其他措施，所有产生的费用由乙方负责，并承担为此造成甲方的一切损失</w:t>
      </w:r>
      <w:r>
        <w:rPr>
          <w:rFonts w:hint="eastAsia" w:ascii="宋体" w:hAnsi="宋体" w:eastAsia="宋体" w:cs="宋体"/>
          <w:b w:val="0"/>
          <w:bCs w:val="0"/>
          <w:sz w:val="24"/>
          <w:szCs w:val="24"/>
          <w:lang w:eastAsia="zh-CN"/>
        </w:rPr>
        <w:t>。</w:t>
      </w:r>
    </w:p>
    <w:p>
      <w:pPr>
        <w:numPr>
          <w:ilvl w:val="0"/>
          <w:numId w:val="0"/>
        </w:numPr>
        <w:overflowPunct w:val="0"/>
        <w:spacing w:line="360" w:lineRule="auto"/>
        <w:ind w:firstLine="480" w:firstLineChars="200"/>
        <w:rPr>
          <w:sz w:val="24"/>
          <w:szCs w:val="24"/>
          <w:lang w:eastAsia="zh-CN"/>
        </w:rPr>
      </w:pPr>
      <w:r>
        <w:rPr>
          <w:rFonts w:hint="eastAsia"/>
          <w:sz w:val="24"/>
          <w:szCs w:val="24"/>
          <w:lang w:eastAsia="zh-CN"/>
        </w:rPr>
        <w:t>8.如果乙方因合理原因造成的计划完成率出现偏差，甲方本着公平公正的原则，对其计划进行调整。因乙方单方面原因（甲方不认可）未完成日常计划造成的月度合同执行出现的偏差由乙方自行承担。</w:t>
      </w:r>
    </w:p>
    <w:p>
      <w:pPr>
        <w:overflowPunct w:val="0"/>
        <w:spacing w:line="360" w:lineRule="auto"/>
        <w:ind w:firstLine="480"/>
        <w:rPr>
          <w:rFonts w:hint="eastAsia"/>
          <w:sz w:val="24"/>
          <w:szCs w:val="24"/>
          <w:lang w:eastAsia="zh-CN"/>
        </w:rPr>
      </w:pPr>
      <w:r>
        <w:rPr>
          <w:rFonts w:hint="eastAsia"/>
          <w:sz w:val="24"/>
          <w:szCs w:val="24"/>
          <w:lang w:eastAsia="zh-CN"/>
        </w:rPr>
        <w:t>9.由于乙方的责任影响正常生产，乙方按有关规定承担违约责任，甲方同时保留损失赔偿的权力。</w:t>
      </w:r>
    </w:p>
    <w:p>
      <w:pPr>
        <w:overflowPunct w:val="0"/>
        <w:spacing w:line="360" w:lineRule="auto"/>
        <w:ind w:firstLine="480"/>
        <w:rPr>
          <w:sz w:val="24"/>
          <w:szCs w:val="24"/>
          <w:lang w:eastAsia="zh-CN"/>
        </w:rPr>
      </w:pPr>
      <w:r>
        <w:rPr>
          <w:rFonts w:hint="eastAsia"/>
          <w:sz w:val="24"/>
          <w:szCs w:val="24"/>
          <w:lang w:eastAsia="zh-CN"/>
        </w:rPr>
        <w:t>七、考核条款及违约责任。本合同签订前，甲方已经充分告知了考核办法。</w:t>
      </w:r>
    </w:p>
    <w:p>
      <w:pPr>
        <w:snapToGrid w:val="0"/>
        <w:spacing w:line="360" w:lineRule="auto"/>
        <w:ind w:firstLine="480" w:firstLineChars="200"/>
        <w:rPr>
          <w:rFonts w:hint="eastAsia"/>
          <w:b w:val="0"/>
          <w:bCs w:val="0"/>
          <w:sz w:val="24"/>
          <w:szCs w:val="24"/>
          <w:shd w:val="clear"/>
          <w:lang w:val="zh-CN" w:eastAsia="zh-CN"/>
        </w:rPr>
      </w:pPr>
      <w:r>
        <w:rPr>
          <w:rFonts w:hint="eastAsia"/>
          <w:b w:val="0"/>
          <w:bCs w:val="0"/>
          <w:sz w:val="24"/>
          <w:szCs w:val="24"/>
          <w:lang w:eastAsia="zh-CN"/>
        </w:rPr>
        <w:t>1.</w:t>
      </w:r>
      <w:r>
        <w:rPr>
          <w:rFonts w:hint="eastAsia"/>
          <w:b w:val="0"/>
          <w:bCs w:val="0"/>
          <w:sz w:val="24"/>
          <w:szCs w:val="24"/>
          <w:lang w:val="zh-CN" w:eastAsia="zh-CN"/>
        </w:rPr>
        <w:t>合同期内，甲方对装运车辆与现场安全文明管理等执行日常考核，乙方接到考核通知后，需在五日内确认考核单并缴纳考核违约金，逾期甲方有权加倍进行要求乙方支付考核违约金。乙</w:t>
      </w:r>
      <w:r>
        <w:rPr>
          <w:rFonts w:hint="eastAsia" w:ascii="宋体" w:hAnsi="宋体" w:cs="宋体"/>
          <w:b w:val="0"/>
          <w:bCs w:val="0"/>
          <w:sz w:val="24"/>
          <w:shd w:val="clear"/>
          <w:lang w:val="en-US" w:eastAsia="zh-CN"/>
        </w:rPr>
        <w:t>方必须及时外运，</w:t>
      </w:r>
      <w:r>
        <w:rPr>
          <w:rFonts w:hint="eastAsia" w:ascii="宋体" w:hAnsi="宋体"/>
          <w:b w:val="0"/>
          <w:bCs w:val="0"/>
          <w:sz w:val="24"/>
          <w:shd w:val="clear"/>
          <w:lang w:eastAsia="zh-CN"/>
        </w:rPr>
        <w:t>且必须在合同终止时满足要求。</w:t>
      </w:r>
    </w:p>
    <w:p>
      <w:pPr>
        <w:overflowPunct w:val="0"/>
        <w:spacing w:before="0" w:line="360" w:lineRule="auto"/>
        <w:ind w:firstLine="480"/>
        <w:rPr>
          <w:rFonts w:hint="eastAsia"/>
          <w:sz w:val="24"/>
          <w:szCs w:val="24"/>
          <w:lang w:val="zh-CN" w:eastAsia="zh-CN"/>
        </w:rPr>
      </w:pPr>
      <w:r>
        <w:rPr>
          <w:rFonts w:hint="eastAsia"/>
          <w:sz w:val="24"/>
          <w:szCs w:val="24"/>
          <w:lang w:val="zh-CN" w:eastAsia="zh-CN"/>
        </w:rPr>
        <w:t>2</w:t>
      </w:r>
      <w:r>
        <w:rPr>
          <w:rFonts w:hint="eastAsia"/>
          <w:sz w:val="24"/>
          <w:szCs w:val="24"/>
          <w:shd w:val="clear"/>
          <w:lang w:val="zh-CN" w:eastAsia="zh-CN"/>
        </w:rPr>
        <w:t>.合同期内，由于乙方原因造成完成</w:t>
      </w:r>
      <w:r>
        <w:rPr>
          <w:rFonts w:hint="eastAsia"/>
          <w:sz w:val="24"/>
          <w:szCs w:val="24"/>
          <w:shd w:val="clear"/>
          <w:lang w:eastAsia="zh-CN"/>
        </w:rPr>
        <w:t>合同计划量偏差超过</w:t>
      </w:r>
      <w:r>
        <w:rPr>
          <w:rFonts w:hint="eastAsia"/>
          <w:sz w:val="24"/>
          <w:szCs w:val="24"/>
          <w:shd w:val="clear"/>
          <w:lang w:val="en-US" w:eastAsia="zh-CN"/>
        </w:rPr>
        <w:t>10</w:t>
      </w:r>
      <w:r>
        <w:rPr>
          <w:rFonts w:hint="eastAsia"/>
          <w:sz w:val="24"/>
          <w:szCs w:val="24"/>
          <w:shd w:val="clear"/>
          <w:lang w:eastAsia="zh-CN"/>
        </w:rPr>
        <w:t>%（甲方确认的合理原因除外）</w:t>
      </w:r>
      <w:r>
        <w:rPr>
          <w:rFonts w:hint="eastAsia"/>
          <w:sz w:val="24"/>
          <w:szCs w:val="24"/>
          <w:lang w:val="zh-CN" w:eastAsia="zh-CN"/>
        </w:rPr>
        <w:t>，甲方有权主张违约金，违约金金额=合计应拉未拉吨位数×本合同单价。启动考核后，乙方需在五日内确认考核单并缴纳考核违约金，逾期甲方有权加倍收取违约金。</w:t>
      </w:r>
    </w:p>
    <w:p>
      <w:pPr>
        <w:overflowPunct w:val="0"/>
        <w:spacing w:before="0" w:line="360" w:lineRule="auto"/>
        <w:ind w:firstLine="480"/>
        <w:rPr>
          <w:rFonts w:hint="eastAsia"/>
          <w:sz w:val="24"/>
          <w:szCs w:val="24"/>
          <w:lang w:val="zh-CN" w:eastAsia="zh-CN"/>
        </w:rPr>
      </w:pPr>
      <w:r>
        <w:rPr>
          <w:rFonts w:hint="eastAsia"/>
          <w:sz w:val="24"/>
          <w:szCs w:val="24"/>
          <w:lang w:eastAsia="zh-CN"/>
        </w:rPr>
        <w:t>3</w:t>
      </w:r>
      <w:r>
        <w:rPr>
          <w:rFonts w:hint="eastAsia"/>
          <w:sz w:val="24"/>
          <w:szCs w:val="24"/>
          <w:lang w:val="zh-CN" w:eastAsia="zh-CN"/>
        </w:rPr>
        <w:t>.乙方如未及时缴纳考核违约金，甲方将从乙方的履约保证金中扣除。乙方应于下一个结算周期的前5个工作日内补齐履约保证金，否则双方自动终止合同关系，扣除乙方所有履约保证金。</w:t>
      </w:r>
    </w:p>
    <w:p>
      <w:pPr>
        <w:overflowPunct w:val="0"/>
        <w:spacing w:line="360" w:lineRule="auto"/>
        <w:ind w:firstLine="480"/>
        <w:rPr>
          <w:sz w:val="24"/>
          <w:szCs w:val="24"/>
          <w:lang w:eastAsia="zh-CN"/>
        </w:rPr>
      </w:pPr>
      <w:r>
        <w:rPr>
          <w:rFonts w:hint="eastAsia"/>
          <w:sz w:val="24"/>
          <w:szCs w:val="24"/>
          <w:lang w:eastAsia="zh-CN"/>
        </w:rPr>
        <w:t>4.在本合同规定的履行期限届满之前，任何一方明确表示或以自己的行为表明不履行合同义务的，另一方可要求对方承担违约责任。乙方因自身原因未按本合同规定支付履约保证金、未按计划拉运、未完成月度拉运任务等，均视为违约。乙方造成重大事故或存在可能影响电厂安全生产的行为，也视为违约。</w:t>
      </w:r>
    </w:p>
    <w:p>
      <w:pPr>
        <w:overflowPunct w:val="0"/>
        <w:spacing w:before="0" w:line="360" w:lineRule="auto"/>
        <w:ind w:firstLine="480"/>
        <w:rPr>
          <w:rFonts w:hint="eastAsia"/>
          <w:sz w:val="24"/>
          <w:szCs w:val="24"/>
          <w:lang w:val="zh-CN" w:eastAsia="zh-CN"/>
        </w:rPr>
      </w:pPr>
      <w:r>
        <w:rPr>
          <w:rFonts w:hint="eastAsia"/>
          <w:sz w:val="24"/>
          <w:szCs w:val="24"/>
          <w:lang w:val="en-US" w:eastAsia="zh-CN"/>
        </w:rPr>
        <w:t>5</w:t>
      </w:r>
      <w:r>
        <w:rPr>
          <w:rFonts w:hint="eastAsia"/>
          <w:sz w:val="24"/>
          <w:szCs w:val="24"/>
          <w:lang w:eastAsia="zh-CN"/>
        </w:rPr>
        <w:t>.如乙方违约，除将乙方列入甲方黑名单并</w:t>
      </w:r>
      <w:r>
        <w:rPr>
          <w:rFonts w:hint="eastAsia"/>
          <w:sz w:val="24"/>
          <w:szCs w:val="24"/>
          <w:lang w:val="zh-CN" w:eastAsia="zh-CN"/>
        </w:rPr>
        <w:t>全额扣除乙方交付的履约保证金外，在甲方签订新的销售合同并生效之前，乙方应继续执行合同条款，否则甲方有权自行安排其他单位拉运，费用由乙方负责。由此产生的价格差，将作为违约金由乙方承担。</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八、合同生效和期限</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1.本合同经甲乙双方法定代表人或委托代理人签字并加盖公章、乙方向甲方支付履约保证金后生效。</w:t>
      </w:r>
    </w:p>
    <w:p>
      <w:pPr>
        <w:overflowPunct w:val="0"/>
        <w:spacing w:line="360" w:lineRule="auto"/>
        <w:ind w:firstLine="480"/>
        <w:rPr>
          <w:rFonts w:hint="eastAsia"/>
          <w:sz w:val="24"/>
          <w:szCs w:val="24"/>
          <w:lang w:eastAsia="zh-CN"/>
        </w:rPr>
      </w:pPr>
      <w:r>
        <w:rPr>
          <w:rFonts w:hint="eastAsia"/>
          <w:sz w:val="24"/>
          <w:szCs w:val="24"/>
          <w:lang w:eastAsia="zh-CN"/>
        </w:rPr>
        <w:t>2.本合同有效期</w:t>
      </w:r>
      <w:r>
        <w:rPr>
          <w:rFonts w:hint="eastAsia" w:ascii="宋体" w:hAnsi="宋体"/>
          <w:b/>
          <w:bCs/>
          <w:sz w:val="24"/>
          <w:u w:val="single"/>
          <w:lang w:val="en-US" w:eastAsia="zh-CN"/>
        </w:rPr>
        <w:t>合同签订日</w:t>
      </w:r>
      <w:r>
        <w:rPr>
          <w:rFonts w:hint="eastAsia" w:ascii="宋体" w:hAnsi="宋体"/>
          <w:b/>
          <w:bCs/>
          <w:sz w:val="24"/>
          <w:u w:val="single"/>
        </w:rPr>
        <w:t>起至</w:t>
      </w:r>
      <w:r>
        <w:rPr>
          <w:rFonts w:hint="eastAsia" w:ascii="宋体" w:hAnsi="宋体"/>
          <w:b/>
          <w:bCs/>
          <w:sz w:val="24"/>
          <w:u w:val="single"/>
          <w:lang w:val="en-US" w:eastAsia="zh-CN"/>
        </w:rPr>
        <w:t>合同量完成</w:t>
      </w:r>
      <w:r>
        <w:rPr>
          <w:rFonts w:hint="eastAsia" w:ascii="宋体" w:hAnsi="宋体"/>
          <w:b/>
          <w:bCs/>
          <w:sz w:val="24"/>
          <w:u w:val="single"/>
        </w:rPr>
        <w:t>止。</w:t>
      </w:r>
    </w:p>
    <w:p>
      <w:pPr>
        <w:overflowPunct w:val="0"/>
        <w:spacing w:before="0" w:line="360" w:lineRule="auto"/>
        <w:ind w:firstLine="480"/>
        <w:rPr>
          <w:rFonts w:hint="default"/>
          <w:sz w:val="24"/>
          <w:szCs w:val="24"/>
          <w:lang w:val="en-US" w:eastAsia="zh-CN"/>
        </w:rPr>
      </w:pPr>
      <w:r>
        <w:rPr>
          <w:rFonts w:hint="eastAsia"/>
          <w:sz w:val="24"/>
          <w:szCs w:val="24"/>
          <w:lang w:val="zh-CN" w:eastAsia="zh-CN"/>
        </w:rPr>
        <w:t>九、争议解决</w:t>
      </w:r>
    </w:p>
    <w:p>
      <w:pPr>
        <w:overflowPunct w:val="0"/>
        <w:spacing w:before="0" w:line="360" w:lineRule="auto"/>
        <w:ind w:firstLine="480"/>
        <w:rPr>
          <w:rFonts w:hint="eastAsia"/>
          <w:sz w:val="24"/>
          <w:szCs w:val="24"/>
          <w:lang w:val="zh-CN" w:eastAsia="zh-CN"/>
        </w:rPr>
      </w:pPr>
      <w:r>
        <w:rPr>
          <w:rFonts w:hint="eastAsia"/>
          <w:sz w:val="24"/>
          <w:szCs w:val="24"/>
          <w:lang w:val="zh-CN" w:eastAsia="zh-CN"/>
        </w:rPr>
        <w:t>双方因履行本合同而发生的争议，应协商、调解解决。协商、调解不成的，可通过下列第 2种方式解决。在进行仲裁或法院审理期间，除提交仲裁或法院审理的事项外，合同仍应继续履行。</w:t>
      </w:r>
    </w:p>
    <w:p>
      <w:pPr>
        <w:overflowPunct w:val="0"/>
        <w:spacing w:before="0" w:line="360" w:lineRule="auto"/>
        <w:ind w:firstLine="480"/>
        <w:rPr>
          <w:rFonts w:hint="eastAsia"/>
          <w:sz w:val="24"/>
          <w:szCs w:val="24"/>
          <w:lang w:val="zh-CN" w:eastAsia="zh-CN"/>
        </w:rPr>
      </w:pPr>
      <w:r>
        <w:rPr>
          <w:rFonts w:hint="eastAsia"/>
          <w:sz w:val="24"/>
          <w:szCs w:val="24"/>
          <w:lang w:val="zh-CN" w:eastAsia="zh-CN"/>
        </w:rPr>
        <w:t>1.通过苏州仲裁委员会进行仲裁，仲裁裁决对双方都有约束力，仲裁过程中发生的费用除仲裁裁决另有规定外，应由违约方承担。</w:t>
      </w:r>
    </w:p>
    <w:p>
      <w:pPr>
        <w:overflowPunct w:val="0"/>
        <w:spacing w:before="0" w:line="360" w:lineRule="auto"/>
        <w:ind w:firstLine="480"/>
        <w:rPr>
          <w:rFonts w:hint="eastAsia"/>
          <w:sz w:val="24"/>
          <w:szCs w:val="24"/>
          <w:lang w:val="zh-CN" w:eastAsia="zh-CN"/>
        </w:rPr>
      </w:pPr>
      <w:r>
        <w:rPr>
          <w:rFonts w:hint="eastAsia"/>
          <w:sz w:val="24"/>
          <w:szCs w:val="24"/>
          <w:lang w:val="zh-CN" w:eastAsia="zh-CN"/>
        </w:rPr>
        <w:t>2.通过诉讼方式解决，由太仓市人民法院管辖。诉讼过程中产生的诉讼费、保全费、律师费、差旅费等相关费用由违约方承担。</w:t>
      </w:r>
    </w:p>
    <w:p>
      <w:pPr>
        <w:overflowPunct w:val="0"/>
        <w:spacing w:before="0" w:line="360" w:lineRule="auto"/>
        <w:ind w:firstLine="480"/>
        <w:rPr>
          <w:rFonts w:hint="eastAsia"/>
          <w:sz w:val="24"/>
          <w:szCs w:val="24"/>
          <w:lang w:val="zh-CN" w:eastAsia="zh-CN"/>
        </w:rPr>
      </w:pPr>
      <w:r>
        <w:rPr>
          <w:rFonts w:hint="eastAsia"/>
          <w:sz w:val="24"/>
          <w:szCs w:val="24"/>
          <w:lang w:val="zh-CN" w:eastAsia="zh-CN"/>
        </w:rPr>
        <w:t>3.在进行仲裁或法院审理期间，除提交仲裁或法院审理的事项外，合同仍应继续履行。</w:t>
      </w:r>
    </w:p>
    <w:p>
      <w:pPr>
        <w:overflowPunct w:val="0"/>
        <w:spacing w:before="0" w:line="360" w:lineRule="auto"/>
        <w:ind w:firstLine="480"/>
        <w:rPr>
          <w:rFonts w:hint="eastAsia"/>
          <w:sz w:val="24"/>
          <w:szCs w:val="24"/>
          <w:lang w:val="zh-CN" w:eastAsia="zh-CN"/>
        </w:rPr>
      </w:pPr>
      <w:r>
        <w:rPr>
          <w:rFonts w:hint="eastAsia"/>
          <w:sz w:val="24"/>
          <w:szCs w:val="24"/>
          <w:lang w:val="zh-CN" w:eastAsia="zh-CN"/>
        </w:rPr>
        <w:t>十、合同终止</w:t>
      </w:r>
    </w:p>
    <w:p>
      <w:pPr>
        <w:overflowPunct w:val="0"/>
        <w:spacing w:before="0" w:line="360" w:lineRule="auto"/>
        <w:ind w:firstLine="480"/>
        <w:rPr>
          <w:rFonts w:hint="eastAsia"/>
          <w:sz w:val="24"/>
          <w:szCs w:val="24"/>
          <w:lang w:val="zh-CN" w:eastAsia="zh-CN"/>
        </w:rPr>
      </w:pPr>
      <w:r>
        <w:rPr>
          <w:rFonts w:hint="eastAsia"/>
          <w:sz w:val="24"/>
          <w:szCs w:val="24"/>
          <w:lang w:val="en-US" w:eastAsia="zh-CN"/>
        </w:rPr>
        <w:t xml:space="preserve"> </w:t>
      </w:r>
      <w:r>
        <w:rPr>
          <w:rFonts w:hint="eastAsia"/>
          <w:sz w:val="24"/>
          <w:szCs w:val="24"/>
          <w:lang w:val="zh-CN" w:eastAsia="zh-CN"/>
        </w:rPr>
        <w:t>除法定的不可抗力事由，发生如下情形的而合同终止的，视为不可抗力，</w:t>
      </w:r>
      <w:r>
        <w:rPr>
          <w:rFonts w:hint="eastAsia"/>
          <w:sz w:val="24"/>
          <w:szCs w:val="24"/>
          <w:lang w:val="en-US" w:eastAsia="zh-CN"/>
        </w:rPr>
        <w:t>甲</w:t>
      </w:r>
      <w:r>
        <w:rPr>
          <w:rFonts w:hint="eastAsia"/>
          <w:sz w:val="24"/>
          <w:szCs w:val="24"/>
          <w:lang w:val="zh-CN" w:eastAsia="zh-CN"/>
        </w:rPr>
        <w:t>方不承担违约或赔偿责任：</w:t>
      </w:r>
    </w:p>
    <w:p>
      <w:pPr>
        <w:overflowPunct w:val="0"/>
        <w:spacing w:before="0" w:line="360" w:lineRule="auto"/>
        <w:ind w:firstLine="480"/>
        <w:rPr>
          <w:rFonts w:hint="eastAsia"/>
          <w:sz w:val="24"/>
          <w:szCs w:val="24"/>
          <w:lang w:val="zh-CN" w:eastAsia="zh-CN"/>
        </w:rPr>
      </w:pPr>
      <w:r>
        <w:rPr>
          <w:rFonts w:hint="eastAsia"/>
          <w:sz w:val="24"/>
          <w:szCs w:val="24"/>
          <w:lang w:val="zh-CN" w:eastAsia="zh-CN"/>
        </w:rPr>
        <w:t>1. 因国家或地方政府产业政策、城市规划调整导致</w:t>
      </w:r>
      <w:r>
        <w:rPr>
          <w:rFonts w:hint="eastAsia"/>
          <w:sz w:val="24"/>
          <w:szCs w:val="24"/>
          <w:lang w:val="en-US" w:eastAsia="zh-CN"/>
        </w:rPr>
        <w:t>甲</w:t>
      </w:r>
      <w:r>
        <w:rPr>
          <w:rFonts w:hint="eastAsia"/>
          <w:sz w:val="24"/>
          <w:szCs w:val="24"/>
          <w:lang w:val="zh-CN" w:eastAsia="zh-CN"/>
        </w:rPr>
        <w:t>方停产停业的；</w:t>
      </w:r>
    </w:p>
    <w:p>
      <w:pPr>
        <w:overflowPunct w:val="0"/>
        <w:spacing w:before="0" w:line="360" w:lineRule="auto"/>
        <w:ind w:firstLine="480"/>
        <w:rPr>
          <w:rFonts w:hint="eastAsia"/>
          <w:sz w:val="24"/>
          <w:szCs w:val="24"/>
          <w:lang w:val="zh-CN" w:eastAsia="zh-CN"/>
        </w:rPr>
      </w:pPr>
      <w:r>
        <w:rPr>
          <w:rFonts w:hint="eastAsia"/>
          <w:sz w:val="24"/>
          <w:szCs w:val="24"/>
          <w:lang w:val="en-US" w:eastAsia="zh-CN"/>
        </w:rPr>
        <w:t>2.</w:t>
      </w:r>
      <w:r>
        <w:rPr>
          <w:rFonts w:hint="eastAsia"/>
          <w:sz w:val="24"/>
          <w:szCs w:val="24"/>
          <w:lang w:val="zh-CN" w:eastAsia="zh-CN"/>
        </w:rPr>
        <w:t xml:space="preserve"> 因国家或地方政府产业政策、城市规划调整导致</w:t>
      </w:r>
      <w:r>
        <w:rPr>
          <w:rFonts w:hint="eastAsia"/>
          <w:sz w:val="24"/>
          <w:szCs w:val="24"/>
          <w:lang w:val="en-US" w:eastAsia="zh-CN"/>
        </w:rPr>
        <w:t>甲</w:t>
      </w:r>
      <w:r>
        <w:rPr>
          <w:rFonts w:hint="eastAsia"/>
          <w:sz w:val="24"/>
          <w:szCs w:val="24"/>
          <w:lang w:val="zh-CN" w:eastAsia="zh-CN"/>
        </w:rPr>
        <w:t>方搬迁的；</w:t>
      </w:r>
    </w:p>
    <w:p>
      <w:pPr>
        <w:overflowPunct w:val="0"/>
        <w:spacing w:before="0" w:line="360" w:lineRule="auto"/>
        <w:ind w:firstLine="480"/>
        <w:rPr>
          <w:rFonts w:hint="eastAsia"/>
          <w:sz w:val="24"/>
          <w:szCs w:val="24"/>
          <w:lang w:val="zh-CN" w:eastAsia="zh-CN"/>
        </w:rPr>
      </w:pPr>
      <w:r>
        <w:rPr>
          <w:rFonts w:hint="eastAsia"/>
          <w:sz w:val="24"/>
          <w:szCs w:val="24"/>
          <w:lang w:val="en-US" w:eastAsia="zh-CN"/>
        </w:rPr>
        <w:t>3.</w:t>
      </w:r>
      <w:r>
        <w:rPr>
          <w:rFonts w:hint="eastAsia"/>
          <w:sz w:val="24"/>
          <w:szCs w:val="24"/>
          <w:lang w:val="zh-CN" w:eastAsia="zh-CN"/>
        </w:rPr>
        <w:t xml:space="preserve"> 因能源供应、社会治安稳定、环境污染及整治、涉及公共利益的原因而使乙方无法履行本合同的。</w:t>
      </w:r>
    </w:p>
    <w:p>
      <w:pPr>
        <w:overflowPunct w:val="0"/>
        <w:spacing w:before="0" w:line="360" w:lineRule="auto"/>
        <w:ind w:firstLine="480"/>
        <w:rPr>
          <w:rFonts w:hint="default"/>
          <w:sz w:val="24"/>
          <w:szCs w:val="24"/>
          <w:lang w:val="en-US" w:eastAsia="zh-CN"/>
        </w:rPr>
      </w:pPr>
      <w:r>
        <w:rPr>
          <w:rFonts w:hint="eastAsia"/>
          <w:sz w:val="24"/>
          <w:szCs w:val="24"/>
          <w:lang w:val="en-US" w:eastAsia="zh-CN"/>
        </w:rPr>
        <w:t>十一、其它</w:t>
      </w:r>
    </w:p>
    <w:p>
      <w:pPr>
        <w:overflowPunct w:val="0"/>
        <w:spacing w:before="0" w:line="360" w:lineRule="auto"/>
        <w:ind w:firstLine="480"/>
        <w:rPr>
          <w:rFonts w:hint="eastAsia"/>
          <w:sz w:val="24"/>
          <w:szCs w:val="24"/>
          <w:lang w:val="zh-CN" w:eastAsia="zh-CN"/>
        </w:rPr>
      </w:pPr>
      <w:r>
        <w:rPr>
          <w:rFonts w:hint="eastAsia"/>
          <w:sz w:val="24"/>
          <w:szCs w:val="24"/>
          <w:lang w:val="zh-CN" w:eastAsia="zh-CN"/>
        </w:rPr>
        <w:t>1.本合同正本一式三份，甲方持二份，乙方执一份。</w:t>
      </w:r>
    </w:p>
    <w:p>
      <w:pPr>
        <w:overflowPunct w:val="0"/>
        <w:spacing w:before="0" w:line="360" w:lineRule="auto"/>
        <w:ind w:firstLine="480"/>
        <w:rPr>
          <w:rFonts w:hint="eastAsia"/>
          <w:sz w:val="24"/>
          <w:szCs w:val="24"/>
          <w:lang w:val="zh-CN" w:eastAsia="zh-CN"/>
        </w:rPr>
      </w:pPr>
      <w:r>
        <w:rPr>
          <w:rFonts w:hint="eastAsia"/>
          <w:sz w:val="24"/>
          <w:szCs w:val="24"/>
          <w:lang w:val="zh-CN" w:eastAsia="zh-CN"/>
        </w:rPr>
        <w:t>2.乙方不得将本合同转包或委托其它公司承销，甲方按合同中的乙方单位名称开具发票。</w:t>
      </w: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p>
    <w:p>
      <w:pPr>
        <w:pStyle w:val="7"/>
        <w:rPr>
          <w:rFonts w:hint="eastAsia"/>
          <w:sz w:val="24"/>
          <w:szCs w:val="24"/>
          <w:lang w:val="zh-CN" w:eastAsia="zh-CN"/>
        </w:rPr>
      </w:pPr>
    </w:p>
    <w:p>
      <w:pPr>
        <w:pStyle w:val="4"/>
        <w:rPr>
          <w:rFonts w:hint="eastAsia"/>
          <w:lang w:val="zh-CN" w:eastAsia="zh-CN"/>
        </w:rPr>
      </w:pPr>
    </w:p>
    <w:p>
      <w:pPr>
        <w:overflowPunct w:val="0"/>
        <w:spacing w:before="0" w:line="360" w:lineRule="auto"/>
        <w:ind w:firstLine="480"/>
        <w:rPr>
          <w:rFonts w:hint="eastAsia"/>
          <w:sz w:val="24"/>
          <w:szCs w:val="24"/>
          <w:lang w:val="zh-CN" w:eastAsia="zh-CN"/>
        </w:rPr>
      </w:pPr>
      <w:r>
        <w:rPr>
          <w:rFonts w:hint="eastAsia"/>
          <w:sz w:val="24"/>
          <w:szCs w:val="24"/>
          <w:lang w:val="zh-CN" w:eastAsia="zh-CN"/>
        </w:rPr>
        <w:t>（签字页）</w:t>
      </w: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r>
        <w:rPr>
          <w:rFonts w:hint="eastAsia"/>
          <w:sz w:val="24"/>
          <w:szCs w:val="24"/>
          <w:lang w:val="zh-CN" w:eastAsia="zh-CN"/>
        </w:rPr>
        <w:t>甲方（盖章）：</w:t>
      </w:r>
      <w:r>
        <w:rPr>
          <w:rFonts w:hint="eastAsia"/>
          <w:sz w:val="24"/>
          <w:szCs w:val="24"/>
          <w:lang w:val="en-US" w:eastAsia="zh-CN"/>
        </w:rPr>
        <w:t xml:space="preserve"> </w:t>
      </w: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r>
        <w:rPr>
          <w:rFonts w:hint="eastAsia"/>
          <w:sz w:val="24"/>
          <w:szCs w:val="24"/>
          <w:lang w:val="zh-CN" w:eastAsia="zh-CN"/>
        </w:rPr>
        <w:t>法定代表人/授权代表：</w:t>
      </w: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r>
        <w:rPr>
          <w:rFonts w:hint="eastAsia"/>
          <w:sz w:val="24"/>
          <w:szCs w:val="24"/>
          <w:lang w:val="zh-CN" w:eastAsia="zh-CN"/>
        </w:rPr>
        <w:t>开户行：</w:t>
      </w:r>
      <w:r>
        <w:rPr>
          <w:rFonts w:hint="eastAsia"/>
          <w:sz w:val="24"/>
          <w:szCs w:val="24"/>
          <w:lang w:val="en-US" w:eastAsia="zh-CN"/>
        </w:rPr>
        <w:t xml:space="preserve"> </w:t>
      </w:r>
    </w:p>
    <w:p>
      <w:pPr>
        <w:overflowPunct w:val="0"/>
        <w:spacing w:before="0" w:line="360" w:lineRule="auto"/>
        <w:ind w:firstLine="480"/>
        <w:rPr>
          <w:rFonts w:hint="eastAsia"/>
          <w:sz w:val="24"/>
          <w:szCs w:val="24"/>
          <w:lang w:val="zh-CN" w:eastAsia="zh-CN"/>
        </w:rPr>
      </w:pPr>
      <w:r>
        <w:rPr>
          <w:rFonts w:hint="eastAsia"/>
          <w:sz w:val="24"/>
          <w:szCs w:val="24"/>
          <w:lang w:val="zh-CN" w:eastAsia="zh-CN"/>
        </w:rPr>
        <w:t>帐号：</w:t>
      </w:r>
      <w:r>
        <w:rPr>
          <w:rFonts w:hint="eastAsia"/>
          <w:sz w:val="24"/>
          <w:szCs w:val="24"/>
          <w:lang w:val="en-US" w:eastAsia="zh-CN"/>
        </w:rPr>
        <w:t xml:space="preserve"> </w:t>
      </w:r>
    </w:p>
    <w:p>
      <w:pPr>
        <w:overflowPunct w:val="0"/>
        <w:spacing w:before="0" w:line="360" w:lineRule="auto"/>
        <w:ind w:firstLine="480"/>
        <w:rPr>
          <w:rFonts w:hint="eastAsia"/>
          <w:sz w:val="24"/>
          <w:szCs w:val="24"/>
          <w:lang w:val="zh-CN" w:eastAsia="zh-CN"/>
        </w:rPr>
      </w:pPr>
      <w:r>
        <w:rPr>
          <w:rFonts w:hint="eastAsia"/>
          <w:sz w:val="24"/>
          <w:szCs w:val="24"/>
          <w:lang w:val="en-US" w:eastAsia="zh-CN"/>
        </w:rPr>
        <w:t>税号：</w:t>
      </w:r>
      <w:r>
        <w:rPr>
          <w:rFonts w:hint="eastAsia"/>
          <w:sz w:val="24"/>
          <w:szCs w:val="24"/>
          <w:lang w:val="zh-CN" w:eastAsia="zh-CN"/>
        </w:rPr>
        <w:t xml:space="preserve">      </w:t>
      </w:r>
    </w:p>
    <w:p>
      <w:pPr>
        <w:overflowPunct w:val="0"/>
        <w:spacing w:before="0" w:line="360" w:lineRule="auto"/>
        <w:ind w:firstLine="480"/>
        <w:rPr>
          <w:rFonts w:hint="eastAsia"/>
          <w:sz w:val="24"/>
          <w:szCs w:val="24"/>
          <w:lang w:val="zh-CN" w:eastAsia="zh-CN"/>
        </w:rPr>
      </w:pPr>
      <w:r>
        <w:rPr>
          <w:rFonts w:hint="eastAsia"/>
          <w:sz w:val="24"/>
          <w:szCs w:val="24"/>
          <w:lang w:val="en-US" w:eastAsia="zh-CN"/>
        </w:rPr>
        <w:t>地址：</w:t>
      </w:r>
      <w:r>
        <w:rPr>
          <w:rFonts w:hint="eastAsia"/>
          <w:sz w:val="24"/>
          <w:szCs w:val="24"/>
          <w:lang w:val="zh-CN" w:eastAsia="zh-CN"/>
        </w:rPr>
        <w:t xml:space="preserve"> </w:t>
      </w:r>
    </w:p>
    <w:p>
      <w:pPr>
        <w:overflowPunct w:val="0"/>
        <w:spacing w:before="0" w:line="360" w:lineRule="auto"/>
        <w:ind w:firstLine="480"/>
        <w:rPr>
          <w:rFonts w:hint="default"/>
          <w:sz w:val="24"/>
          <w:szCs w:val="24"/>
          <w:lang w:val="en-US" w:eastAsia="zh-CN"/>
        </w:rPr>
      </w:pPr>
      <w:r>
        <w:rPr>
          <w:rFonts w:hint="eastAsia"/>
          <w:sz w:val="24"/>
          <w:szCs w:val="24"/>
          <w:lang w:val="en-US" w:eastAsia="zh-CN"/>
        </w:rPr>
        <w:t>电话：</w:t>
      </w: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r>
        <w:rPr>
          <w:rFonts w:hint="eastAsia"/>
          <w:sz w:val="24"/>
          <w:szCs w:val="24"/>
          <w:lang w:val="zh-CN" w:eastAsia="zh-CN"/>
        </w:rPr>
        <w:t xml:space="preserve">               </w:t>
      </w: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r>
        <w:rPr>
          <w:rFonts w:hint="eastAsia"/>
          <w:sz w:val="24"/>
          <w:szCs w:val="24"/>
          <w:lang w:val="en-US" w:eastAsia="zh-CN"/>
        </w:rPr>
        <w:t>乙</w:t>
      </w:r>
      <w:r>
        <w:rPr>
          <w:rFonts w:hint="eastAsia"/>
          <w:sz w:val="24"/>
          <w:szCs w:val="24"/>
          <w:lang w:val="zh-CN" w:eastAsia="zh-CN"/>
        </w:rPr>
        <w:t>方（盖章）：</w:t>
      </w:r>
      <w:r>
        <w:rPr>
          <w:rFonts w:hint="eastAsia"/>
          <w:sz w:val="24"/>
          <w:szCs w:val="24"/>
          <w:lang w:val="en-US" w:eastAsia="zh-CN"/>
        </w:rPr>
        <w:t xml:space="preserve">    </w:t>
      </w: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r>
        <w:rPr>
          <w:rFonts w:hint="eastAsia"/>
          <w:sz w:val="24"/>
          <w:szCs w:val="24"/>
          <w:lang w:val="zh-CN" w:eastAsia="zh-CN"/>
        </w:rPr>
        <w:t>法定代表人/授权代表：</w:t>
      </w: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r>
        <w:rPr>
          <w:rFonts w:hint="eastAsia"/>
          <w:sz w:val="24"/>
          <w:szCs w:val="24"/>
          <w:lang w:val="zh-CN" w:eastAsia="zh-CN"/>
        </w:rPr>
        <w:t>开户行：</w:t>
      </w:r>
      <w:r>
        <w:rPr>
          <w:rFonts w:hint="eastAsia"/>
          <w:sz w:val="24"/>
          <w:szCs w:val="24"/>
          <w:lang w:val="en-US" w:eastAsia="zh-CN"/>
        </w:rPr>
        <w:t xml:space="preserve"> </w:t>
      </w:r>
    </w:p>
    <w:p>
      <w:pPr>
        <w:overflowPunct w:val="0"/>
        <w:spacing w:before="0" w:line="360" w:lineRule="auto"/>
        <w:ind w:firstLine="480"/>
        <w:rPr>
          <w:rFonts w:hint="eastAsia"/>
          <w:sz w:val="24"/>
          <w:szCs w:val="24"/>
          <w:lang w:val="en-US" w:eastAsia="zh-CN"/>
        </w:rPr>
      </w:pPr>
      <w:r>
        <w:rPr>
          <w:rFonts w:hint="eastAsia"/>
          <w:sz w:val="24"/>
          <w:szCs w:val="24"/>
          <w:lang w:val="zh-CN" w:eastAsia="zh-CN"/>
        </w:rPr>
        <w:t>帐号：</w:t>
      </w:r>
      <w:r>
        <w:rPr>
          <w:rFonts w:hint="eastAsia"/>
          <w:sz w:val="24"/>
          <w:szCs w:val="24"/>
          <w:lang w:val="en-US" w:eastAsia="zh-CN"/>
        </w:rPr>
        <w:t xml:space="preserve"> </w:t>
      </w:r>
    </w:p>
    <w:p>
      <w:pPr>
        <w:overflowPunct w:val="0"/>
        <w:spacing w:before="0" w:line="360" w:lineRule="auto"/>
        <w:ind w:firstLine="480"/>
        <w:rPr>
          <w:rFonts w:hint="eastAsia"/>
          <w:sz w:val="24"/>
          <w:szCs w:val="24"/>
          <w:lang w:val="zh-CN" w:eastAsia="zh-CN"/>
        </w:rPr>
      </w:pPr>
      <w:r>
        <w:rPr>
          <w:rFonts w:hint="eastAsia"/>
          <w:sz w:val="24"/>
          <w:szCs w:val="24"/>
          <w:lang w:val="en-US" w:eastAsia="zh-CN"/>
        </w:rPr>
        <w:t xml:space="preserve">税号：  </w:t>
      </w:r>
      <w:r>
        <w:rPr>
          <w:rFonts w:hint="eastAsia"/>
          <w:sz w:val="24"/>
          <w:szCs w:val="24"/>
          <w:lang w:val="zh-CN" w:eastAsia="zh-CN"/>
        </w:rPr>
        <w:t xml:space="preserve">      </w:t>
      </w:r>
    </w:p>
    <w:p>
      <w:pPr>
        <w:overflowPunct w:val="0"/>
        <w:spacing w:before="0" w:line="360" w:lineRule="auto"/>
        <w:ind w:firstLine="480"/>
        <w:rPr>
          <w:rFonts w:hint="eastAsia"/>
          <w:sz w:val="24"/>
          <w:szCs w:val="24"/>
          <w:lang w:val="en-US" w:eastAsia="zh-CN"/>
        </w:rPr>
      </w:pPr>
      <w:r>
        <w:rPr>
          <w:rFonts w:hint="eastAsia"/>
          <w:sz w:val="24"/>
          <w:szCs w:val="24"/>
          <w:lang w:val="en-US" w:eastAsia="zh-CN"/>
        </w:rPr>
        <w:t xml:space="preserve">地址： </w:t>
      </w:r>
    </w:p>
    <w:p>
      <w:pPr>
        <w:overflowPunct w:val="0"/>
        <w:spacing w:before="0" w:line="360" w:lineRule="auto"/>
        <w:ind w:firstLine="480"/>
        <w:rPr>
          <w:rFonts w:hint="default"/>
          <w:sz w:val="24"/>
          <w:szCs w:val="24"/>
          <w:lang w:val="en-US" w:eastAsia="zh-CN"/>
        </w:rPr>
      </w:pPr>
      <w:r>
        <w:rPr>
          <w:rFonts w:hint="eastAsia"/>
          <w:sz w:val="24"/>
          <w:szCs w:val="24"/>
          <w:lang w:val="en-US" w:eastAsia="zh-CN"/>
        </w:rPr>
        <w:t xml:space="preserve">电话： </w:t>
      </w:r>
    </w:p>
    <w:p>
      <w:pPr>
        <w:overflowPunct w:val="0"/>
        <w:spacing w:before="0" w:line="360" w:lineRule="auto"/>
        <w:ind w:firstLine="480"/>
        <w:rPr>
          <w:rFonts w:hint="eastAsia"/>
          <w:sz w:val="24"/>
          <w:szCs w:val="24"/>
          <w:lang w:val="zh-CN" w:eastAsia="zh-CN"/>
        </w:rPr>
      </w:pPr>
    </w:p>
    <w:p>
      <w:pPr>
        <w:overflowPunct w:val="0"/>
        <w:spacing w:before="0" w:line="360" w:lineRule="auto"/>
        <w:ind w:firstLine="480"/>
        <w:rPr>
          <w:rFonts w:hint="eastAsia"/>
          <w:sz w:val="24"/>
          <w:szCs w:val="24"/>
          <w:lang w:val="zh-CN" w:eastAsia="zh-CN"/>
        </w:rPr>
      </w:pPr>
    </w:p>
    <w:p>
      <w:pPr>
        <w:overflowPunct w:val="0"/>
        <w:spacing w:before="0" w:line="360" w:lineRule="auto"/>
        <w:ind w:firstLine="480"/>
        <w:jc w:val="center"/>
        <w:rPr>
          <w:rFonts w:hint="eastAsia"/>
          <w:sz w:val="24"/>
          <w:szCs w:val="24"/>
          <w:lang w:val="zh-CN" w:eastAsia="zh-CN"/>
        </w:rPr>
      </w:pPr>
      <w:r>
        <w:rPr>
          <w:rFonts w:hint="eastAsia"/>
          <w:sz w:val="24"/>
          <w:szCs w:val="24"/>
          <w:lang w:val="zh-CN" w:eastAsia="zh-CN"/>
        </w:rPr>
        <w:t>签订时间：</w:t>
      </w:r>
      <w:r>
        <w:rPr>
          <w:rFonts w:hint="eastAsia"/>
          <w:sz w:val="24"/>
          <w:szCs w:val="24"/>
          <w:lang w:val="en-US" w:eastAsia="zh-CN"/>
        </w:rPr>
        <w:t>2025</w:t>
      </w:r>
      <w:r>
        <w:rPr>
          <w:rFonts w:hint="eastAsia"/>
          <w:sz w:val="24"/>
          <w:szCs w:val="24"/>
          <w:lang w:val="zh-CN" w:eastAsia="zh-CN"/>
        </w:rPr>
        <w:t>年</w:t>
      </w:r>
      <w:r>
        <w:rPr>
          <w:rFonts w:hint="eastAsia"/>
          <w:sz w:val="24"/>
          <w:szCs w:val="24"/>
          <w:lang w:val="en-US" w:eastAsia="zh-CN"/>
        </w:rPr>
        <w:t xml:space="preserve">    </w:t>
      </w:r>
      <w:r>
        <w:rPr>
          <w:rFonts w:hint="eastAsia"/>
          <w:sz w:val="24"/>
          <w:szCs w:val="24"/>
          <w:lang w:val="zh-CN" w:eastAsia="zh-CN"/>
        </w:rPr>
        <w:t>月</w:t>
      </w:r>
      <w:r>
        <w:rPr>
          <w:rFonts w:hint="eastAsia"/>
          <w:sz w:val="24"/>
          <w:szCs w:val="24"/>
          <w:lang w:val="en-US" w:eastAsia="zh-CN"/>
        </w:rPr>
        <w:t xml:space="preserve">  </w:t>
      </w:r>
      <w:r>
        <w:rPr>
          <w:rFonts w:hint="eastAsia"/>
          <w:sz w:val="24"/>
          <w:szCs w:val="24"/>
          <w:lang w:val="zh-CN" w:eastAsia="zh-CN"/>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45E098"/>
    <w:multiLevelType w:val="singleLevel"/>
    <w:tmpl w:val="2E45E098"/>
    <w:lvl w:ilvl="0" w:tentative="0">
      <w:start w:val="7"/>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7913EF"/>
    <w:rsid w:val="134903E3"/>
    <w:rsid w:val="4E7913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tabs>
        <w:tab w:val="left" w:pos="-105"/>
      </w:tabs>
      <w:spacing w:after="120" w:line="440" w:lineRule="exact"/>
      <w:ind w:right="-147" w:rightChars="-70"/>
      <w:outlineLvl w:val="2"/>
    </w:pPr>
    <w:rPr>
      <w:rFonts w:ascii="宋体" w:hAnsi="宋体" w:eastAsia="宋体" w:cs="Times New Roman"/>
      <w:sz w:val="24"/>
      <w:szCs w:val="20"/>
    </w:rPr>
  </w:style>
  <w:style w:type="paragraph" w:styleId="3">
    <w:name w:val="Body Text First Indent"/>
    <w:basedOn w:val="2"/>
    <w:next w:val="1"/>
    <w:qFormat/>
    <w:uiPriority w:val="0"/>
    <w:pPr>
      <w:autoSpaceDE w:val="0"/>
      <w:autoSpaceDN w:val="0"/>
      <w:adjustRightInd w:val="0"/>
      <w:ind w:firstLine="420"/>
      <w:jc w:val="left"/>
    </w:pPr>
    <w:rPr>
      <w:kern w:val="0"/>
      <w:sz w:val="20"/>
    </w:rPr>
  </w:style>
  <w:style w:type="paragraph" w:styleId="4">
    <w:name w:val="toc 2"/>
    <w:basedOn w:val="1"/>
    <w:next w:val="1"/>
    <w:qFormat/>
    <w:uiPriority w:val="39"/>
    <w:pPr>
      <w:ind w:left="240"/>
    </w:pPr>
    <w:rPr>
      <w:rFonts w:ascii="Calibri" w:hAnsi="Calibri"/>
      <w:smallCaps/>
      <w:sz w:val="20"/>
      <w:szCs w:val="20"/>
    </w:rPr>
  </w:style>
  <w:style w:type="paragraph" w:customStyle="1" w:styleId="7">
    <w:name w:val="Default"/>
    <w:next w:val="4"/>
    <w:qFormat/>
    <w:uiPriority w:val="0"/>
    <w:pPr>
      <w:autoSpaceDE w:val="0"/>
      <w:autoSpaceDN w:val="0"/>
      <w:adjustRightInd w:val="0"/>
      <w:spacing w:beforeLines="50" w:line="360" w:lineRule="auto"/>
      <w:ind w:firstLine="200" w:firstLineChars="200"/>
      <w:jc w:val="both"/>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2025-11-18T04:37:00Z</dcterms:created>
  <dc:creator>liangyijie.TC</dc:creator>
  <cp:lastModifiedBy>liangyijie.TC</cp:lastModifiedBy>
  <dcterms:modified xsi:type="dcterms:W3CDTF">2025-11-18T04:38:24Z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1232226F19454F02A2085D24D366A502</vt:lpwstr>
  </property>
</Properties>
</file>