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91" w:firstLineChars="900"/>
        <w:rPr>
          <w:rFonts w:hint="eastAsia" w:ascii="宋体" w:hAnsi="宋体" w:cs="宋体"/>
          <w:b/>
          <w:bCs/>
          <w:kern w:val="0"/>
          <w:sz w:val="32"/>
          <w:szCs w:val="32"/>
        </w:rPr>
      </w:pPr>
      <w:r>
        <w:rPr>
          <w:rFonts w:hint="eastAsia" w:ascii="宋体" w:hAnsi="宋体" w:cs="宋体"/>
          <w:b/>
          <w:bCs/>
          <w:kern w:val="0"/>
          <w:sz w:val="32"/>
          <w:szCs w:val="32"/>
        </w:rPr>
        <w:t>报废物资销售合同</w:t>
      </w:r>
    </w:p>
    <w:p>
      <w:pPr>
        <w:rPr>
          <w:rFonts w:hint="eastAsia" w:ascii="宋体" w:hAnsi="宋体" w:cs="宋体"/>
          <w:kern w:val="0"/>
          <w:sz w:val="22"/>
        </w:rPr>
      </w:pP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 xml:space="preserve">出卖方：江苏南通发电有限公司                    合同号： </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受买方：                                        签订地点： 江苏南通发电有限公司</w:t>
      </w:r>
    </w:p>
    <w:p>
      <w:pPr>
        <w:spacing w:line="360" w:lineRule="auto"/>
        <w:jc w:val="right"/>
        <w:rPr>
          <w:rFonts w:hint="eastAsia" w:cs="宋体" w:asciiTheme="minorEastAsia" w:hAnsiTheme="minorEastAsia"/>
          <w:kern w:val="0"/>
          <w:szCs w:val="21"/>
        </w:rPr>
      </w:pPr>
      <w:r>
        <w:rPr>
          <w:rFonts w:hint="eastAsia" w:cs="宋体" w:asciiTheme="minorEastAsia" w:hAnsiTheme="minorEastAsia"/>
          <w:kern w:val="0"/>
          <w:szCs w:val="21"/>
        </w:rPr>
        <w:t xml:space="preserve">                                                  </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买卖双方本着平等互利、协商一致的原则，达成以下协议，以资双方信守执行</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第一条   产品名称、规格、数量及单价</w:t>
      </w:r>
    </w:p>
    <w:tbl>
      <w:tblPr>
        <w:tblStyle w:val="8"/>
        <w:tblW w:w="8604" w:type="dxa"/>
        <w:jc w:val="center"/>
        <w:tblInd w:w="0" w:type="dxa"/>
        <w:tblLayout w:type="fixed"/>
        <w:tblCellMar>
          <w:top w:w="0" w:type="dxa"/>
          <w:left w:w="108" w:type="dxa"/>
          <w:bottom w:w="0" w:type="dxa"/>
          <w:right w:w="108" w:type="dxa"/>
        </w:tblCellMar>
      </w:tblPr>
      <w:tblGrid>
        <w:gridCol w:w="1656"/>
        <w:gridCol w:w="2376"/>
        <w:gridCol w:w="1074"/>
        <w:gridCol w:w="1414"/>
        <w:gridCol w:w="933"/>
        <w:gridCol w:w="1151"/>
      </w:tblGrid>
      <w:tr>
        <w:tblPrEx>
          <w:tblLayout w:type="fixed"/>
          <w:tblCellMar>
            <w:top w:w="0" w:type="dxa"/>
            <w:left w:w="108" w:type="dxa"/>
            <w:bottom w:w="0" w:type="dxa"/>
            <w:right w:w="108" w:type="dxa"/>
          </w:tblCellMar>
        </w:tblPrEx>
        <w:trPr>
          <w:trHeight w:val="1051" w:hRule="atLeast"/>
          <w:jc w:val="center"/>
        </w:trPr>
        <w:tc>
          <w:tcPr>
            <w:tcW w:w="1656"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标的名称</w:t>
            </w:r>
          </w:p>
        </w:tc>
        <w:tc>
          <w:tcPr>
            <w:tcW w:w="2376"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规格型号</w:t>
            </w:r>
          </w:p>
        </w:tc>
        <w:tc>
          <w:tcPr>
            <w:tcW w:w="1074"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1414"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含税单价（元）</w:t>
            </w:r>
          </w:p>
        </w:tc>
        <w:tc>
          <w:tcPr>
            <w:tcW w:w="933" w:type="dxa"/>
            <w:tcBorders>
              <w:top w:val="single" w:color="auto" w:sz="4" w:space="0"/>
              <w:left w:val="single" w:color="auto" w:sz="4" w:space="0"/>
              <w:bottom w:val="single" w:color="000000" w:sz="4" w:space="0"/>
              <w:right w:val="single" w:color="000000"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数量</w:t>
            </w:r>
          </w:p>
        </w:tc>
        <w:tc>
          <w:tcPr>
            <w:tcW w:w="1151" w:type="dxa"/>
            <w:tcBorders>
              <w:top w:val="single" w:color="auto" w:sz="4" w:space="0"/>
              <w:left w:val="single" w:color="auto" w:sz="4" w:space="0"/>
              <w:bottom w:val="single" w:color="000000" w:sz="4" w:space="0"/>
              <w:right w:val="single" w:color="000000" w:sz="4" w:space="0"/>
            </w:tcBorders>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Layout w:type="fixed"/>
          <w:tblCellMar>
            <w:top w:w="0" w:type="dxa"/>
            <w:left w:w="108" w:type="dxa"/>
            <w:bottom w:w="0" w:type="dxa"/>
            <w:right w:w="108" w:type="dxa"/>
          </w:tblCellMar>
        </w:tblPrEx>
        <w:trPr>
          <w:trHeight w:val="737" w:hRule="exact"/>
          <w:jc w:val="center"/>
        </w:trPr>
        <w:tc>
          <w:tcPr>
            <w:tcW w:w="165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cstheme="minorEastAsia"/>
                <w:color w:val="000000"/>
                <w:szCs w:val="21"/>
              </w:rPr>
            </w:pPr>
            <w:r>
              <w:rPr>
                <w:rFonts w:hint="eastAsia" w:asciiTheme="majorEastAsia" w:hAnsiTheme="majorEastAsia" w:eastAsiaTheme="majorEastAsia" w:cstheme="majorEastAsia"/>
                <w:color w:val="000000"/>
                <w:kern w:val="0"/>
                <w:sz w:val="20"/>
                <w:szCs w:val="20"/>
                <w:lang w:bidi="ar"/>
              </w:rPr>
              <w:t>轻型载货汽车(皮卡)</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cstheme="minorEastAsia"/>
                <w:color w:val="000000"/>
                <w:szCs w:val="21"/>
              </w:rPr>
            </w:pPr>
            <w:r>
              <w:rPr>
                <w:rFonts w:hint="eastAsia" w:asciiTheme="majorEastAsia" w:hAnsiTheme="majorEastAsia" w:eastAsiaTheme="majorEastAsia" w:cstheme="majorEastAsia"/>
                <w:color w:val="000000"/>
                <w:kern w:val="0"/>
                <w:sz w:val="20"/>
                <w:szCs w:val="20"/>
                <w:lang w:bidi="ar"/>
              </w:rPr>
              <w:t>日产ZN1022U2X</w:t>
            </w:r>
          </w:p>
        </w:tc>
        <w:tc>
          <w:tcPr>
            <w:tcW w:w="10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cstheme="minorEastAsia"/>
                <w:color w:val="000000"/>
                <w:szCs w:val="21"/>
              </w:rPr>
            </w:pPr>
            <w:r>
              <w:rPr>
                <w:rFonts w:hint="eastAsia" w:asciiTheme="majorEastAsia" w:hAnsiTheme="majorEastAsia" w:eastAsiaTheme="majorEastAsia" w:cstheme="majorEastAsia"/>
                <w:color w:val="000000"/>
                <w:kern w:val="0"/>
                <w:sz w:val="20"/>
                <w:szCs w:val="20"/>
                <w:lang w:bidi="ar"/>
              </w:rPr>
              <w:t>辆</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cstheme="minorEastAsia"/>
                <w:kern w:val="0"/>
                <w:szCs w:val="21"/>
              </w:rPr>
            </w:pPr>
          </w:p>
        </w:tc>
        <w:tc>
          <w:tcPr>
            <w:tcW w:w="93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cstheme="minorEastAsia"/>
                <w:color w:val="000000"/>
                <w:szCs w:val="21"/>
              </w:rPr>
            </w:pPr>
            <w:r>
              <w:rPr>
                <w:rFonts w:hint="eastAsia" w:asciiTheme="minorEastAsia" w:hAnsiTheme="minorEastAsia" w:cstheme="minorEastAsia"/>
                <w:color w:val="000000"/>
                <w:szCs w:val="21"/>
              </w:rPr>
              <w:t>2</w:t>
            </w:r>
          </w:p>
        </w:tc>
        <w:tc>
          <w:tcPr>
            <w:tcW w:w="11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p>
        </w:tc>
      </w:tr>
      <w:tr>
        <w:tblPrEx>
          <w:tblLayout w:type="fixed"/>
          <w:tblCellMar>
            <w:top w:w="0" w:type="dxa"/>
            <w:left w:w="108" w:type="dxa"/>
            <w:bottom w:w="0" w:type="dxa"/>
            <w:right w:w="108" w:type="dxa"/>
          </w:tblCellMar>
        </w:tblPrEx>
        <w:trPr>
          <w:trHeight w:val="890" w:hRule="exact"/>
          <w:jc w:val="center"/>
        </w:trPr>
        <w:tc>
          <w:tcPr>
            <w:tcW w:w="16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r>
              <w:rPr>
                <w:rFonts w:hint="eastAsia" w:asciiTheme="minorEastAsia" w:hAnsiTheme="minorEastAsia" w:cstheme="minorEastAsia"/>
                <w:kern w:val="0"/>
                <w:szCs w:val="21"/>
              </w:rPr>
              <w:t>不含税总价（元）</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p>
        </w:tc>
        <w:tc>
          <w:tcPr>
            <w:tcW w:w="10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r>
              <w:rPr>
                <w:rFonts w:hint="eastAsia" w:asciiTheme="minorEastAsia" w:hAnsiTheme="minorEastAsia" w:cstheme="minorEastAsia"/>
                <w:kern w:val="0"/>
                <w:szCs w:val="21"/>
              </w:rPr>
              <w:t>含税总价（元）</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p>
        </w:tc>
        <w:tc>
          <w:tcPr>
            <w:tcW w:w="93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r>
              <w:rPr>
                <w:rFonts w:hint="eastAsia" w:asciiTheme="minorEastAsia" w:hAnsiTheme="minorEastAsia" w:cstheme="minorEastAsia"/>
                <w:kern w:val="0"/>
                <w:szCs w:val="21"/>
              </w:rPr>
              <w:t>税率</w:t>
            </w:r>
          </w:p>
        </w:tc>
        <w:tc>
          <w:tcPr>
            <w:tcW w:w="11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cstheme="minorEastAsia"/>
                <w:kern w:val="0"/>
                <w:szCs w:val="21"/>
              </w:rPr>
            </w:pPr>
            <w:r>
              <w:rPr>
                <w:rFonts w:hint="eastAsia" w:asciiTheme="minorEastAsia" w:hAnsiTheme="minorEastAsia" w:cstheme="minorEastAsia"/>
                <w:kern w:val="0"/>
                <w:szCs w:val="21"/>
              </w:rPr>
              <w:t>13%</w:t>
            </w:r>
          </w:p>
        </w:tc>
      </w:tr>
    </w:tbl>
    <w:p>
      <w:pPr>
        <w:spacing w:before="156" w:beforeLines="50" w:line="360" w:lineRule="auto"/>
        <w:rPr>
          <w:rFonts w:hint="eastAsia" w:cs="宋体" w:asciiTheme="minorEastAsia" w:hAnsiTheme="minorEastAsia"/>
          <w:kern w:val="0"/>
          <w:szCs w:val="21"/>
        </w:rPr>
      </w:pPr>
      <w:r>
        <w:rPr>
          <w:rFonts w:hint="eastAsia" w:cs="宋体" w:asciiTheme="minorEastAsia" w:hAnsiTheme="minorEastAsia"/>
          <w:kern w:val="0"/>
          <w:szCs w:val="21"/>
        </w:rPr>
        <w:t>第二条</w:t>
      </w:r>
      <w:r>
        <w:rPr>
          <w:rFonts w:cs="宋体" w:asciiTheme="minorEastAsia" w:hAnsiTheme="minorEastAsia"/>
          <w:kern w:val="0"/>
          <w:szCs w:val="21"/>
        </w:rPr>
        <w:t xml:space="preserve">  </w:t>
      </w:r>
      <w:r>
        <w:rPr>
          <w:rFonts w:hint="eastAsia" w:cs="宋体" w:asciiTheme="minorEastAsia" w:hAnsiTheme="minorEastAsia"/>
          <w:kern w:val="0"/>
          <w:szCs w:val="21"/>
        </w:rPr>
        <w:t>合理损耗标准及计算方法：按出卖方现场实际为准，交货时受买方对数量未提出异议的，则视为没有异议。</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第三条</w:t>
      </w:r>
      <w:r>
        <w:rPr>
          <w:rFonts w:cs="宋体" w:asciiTheme="minorEastAsia" w:hAnsiTheme="minorEastAsia"/>
          <w:kern w:val="0"/>
          <w:szCs w:val="21"/>
        </w:rPr>
        <w:t xml:space="preserve">  </w:t>
      </w:r>
      <w:r>
        <w:rPr>
          <w:rFonts w:hint="eastAsia" w:cs="宋体" w:asciiTheme="minorEastAsia" w:hAnsiTheme="minorEastAsia"/>
          <w:kern w:val="0"/>
          <w:szCs w:val="21"/>
        </w:rPr>
        <w:t>出卖方对所出售的废旧物资不承担任何质量担保责任，受买方承诺依照法律规定对该废旧物资进行处置，不得污染环境。</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第四条</w:t>
      </w:r>
      <w:r>
        <w:rPr>
          <w:rFonts w:cs="宋体" w:asciiTheme="minorEastAsia" w:hAnsiTheme="minorEastAsia"/>
          <w:kern w:val="0"/>
          <w:szCs w:val="21"/>
        </w:rPr>
        <w:t xml:space="preserve">  </w:t>
      </w:r>
      <w:r>
        <w:rPr>
          <w:rFonts w:hint="eastAsia" w:cs="宋体" w:asciiTheme="minorEastAsia" w:hAnsiTheme="minorEastAsia"/>
          <w:kern w:val="0"/>
          <w:szCs w:val="21"/>
        </w:rPr>
        <w:t xml:space="preserve">标的物所有权自交货时起转移。         </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第五条  交（提）货时间、地点：合同生效后收到出卖方处置通知的7个无雨工作日，</w:t>
      </w:r>
      <w:r>
        <w:rPr>
          <w:rFonts w:hint="eastAsia"/>
        </w:rPr>
        <w:t>江苏南通发电有限公司</w:t>
      </w:r>
      <w:r>
        <w:rPr>
          <w:rFonts w:hint="eastAsia" w:cs="宋体" w:asciiTheme="minorEastAsia" w:hAnsiTheme="minorEastAsia"/>
          <w:kern w:val="0"/>
          <w:szCs w:val="21"/>
        </w:rPr>
        <w:t>。</w:t>
      </w:r>
      <w:r>
        <w:rPr>
          <w:rFonts w:cs="宋体" w:asciiTheme="minorEastAsia" w:hAnsiTheme="minorEastAsia"/>
          <w:kern w:val="0"/>
          <w:szCs w:val="21"/>
        </w:rPr>
        <w:t xml:space="preserve"> </w:t>
      </w:r>
    </w:p>
    <w:p>
      <w:pPr>
        <w:widowControl/>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第六条  运输方式及到达站（港）和费用负担：汽车公路运输，运费由受买方承担。</w:t>
      </w:r>
    </w:p>
    <w:p>
      <w:pPr>
        <w:spacing w:line="360" w:lineRule="auto"/>
        <w:rPr>
          <w:rFonts w:hint="eastAsia" w:asciiTheme="minorEastAsia" w:hAnsiTheme="minorEastAsia"/>
          <w:color w:val="FF0000"/>
        </w:rPr>
      </w:pPr>
      <w:r>
        <w:rPr>
          <w:rFonts w:hint="eastAsia" w:ascii="宋体" w:hAnsi="宋体"/>
          <w:color w:val="FF0000"/>
          <w:szCs w:val="21"/>
        </w:rPr>
        <w:t>第七条</w:t>
      </w:r>
      <w:r>
        <w:rPr>
          <w:rFonts w:ascii="宋体" w:hAnsi="宋体"/>
          <w:color w:val="FF0000"/>
          <w:szCs w:val="21"/>
        </w:rPr>
        <w:t xml:space="preserve">  </w:t>
      </w:r>
      <w:r>
        <w:rPr>
          <w:rFonts w:hint="eastAsia" w:ascii="宋体" w:hAnsi="宋体"/>
          <w:color w:val="FF0000"/>
          <w:szCs w:val="21"/>
        </w:rPr>
        <w:t>结算方式：</w:t>
      </w:r>
    </w:p>
    <w:p>
      <w:pPr>
        <w:spacing w:line="360" w:lineRule="auto"/>
        <w:rPr>
          <w:rFonts w:hint="eastAsia" w:ascii="宋体" w:hAnsi="宋体"/>
          <w:color w:val="FF0000"/>
          <w:szCs w:val="21"/>
        </w:rPr>
      </w:pPr>
      <w:r>
        <w:rPr>
          <w:rFonts w:hint="eastAsia" w:ascii="宋体" w:hAnsi="宋体"/>
          <w:color w:val="FF0000"/>
          <w:szCs w:val="21"/>
        </w:rPr>
        <w:t>（一）合同签订后，受买方竞价保证金自动转为履约保证金，履约保证金合同期满无息退还，但受买方如违约则不予退还。</w:t>
      </w:r>
    </w:p>
    <w:p>
      <w:pPr>
        <w:spacing w:line="360" w:lineRule="auto"/>
        <w:rPr>
          <w:rFonts w:hint="eastAsia" w:cs="宋体" w:asciiTheme="minorEastAsia" w:hAnsiTheme="minorEastAsia"/>
          <w:color w:val="FF0000"/>
          <w:kern w:val="0"/>
          <w:szCs w:val="21"/>
        </w:rPr>
      </w:pPr>
      <w:r>
        <w:rPr>
          <w:rFonts w:hint="eastAsia" w:ascii="宋体" w:hAnsi="宋体"/>
          <w:color w:val="FF0000"/>
          <w:szCs w:val="21"/>
        </w:rPr>
        <w:t>（二）合同签订后，受买方应在收到出卖方处置通知的7个工作日内支付本批次处置暂估数量总价格的100%作为处置押金。</w:t>
      </w:r>
      <w:r>
        <w:rPr>
          <w:rFonts w:hint="eastAsia"/>
          <w:color w:val="FF0000"/>
        </w:rPr>
        <w:t>出卖方</w:t>
      </w:r>
      <w:r>
        <w:rPr>
          <w:rFonts w:hint="eastAsia" w:ascii="宋体" w:hAnsi="宋体"/>
          <w:color w:val="FF0000"/>
          <w:szCs w:val="21"/>
        </w:rPr>
        <w:t>收到押金后开具收据，受买方凭押金收据前往废旧物资存放地点进行装运</w:t>
      </w:r>
      <w:r>
        <w:rPr>
          <w:rFonts w:hint="eastAsia" w:cs="宋体" w:asciiTheme="minorEastAsia" w:hAnsiTheme="minorEastAsia"/>
          <w:color w:val="FF0000"/>
          <w:kern w:val="0"/>
          <w:szCs w:val="21"/>
        </w:rPr>
        <w:t>。</w:t>
      </w:r>
    </w:p>
    <w:p>
      <w:pPr>
        <w:pStyle w:val="2"/>
      </w:pPr>
      <w:r>
        <w:rPr>
          <w:rFonts w:hint="eastAsia" w:ascii="宋体" w:hAnsi="宋体"/>
          <w:color w:val="FF0000"/>
          <w:szCs w:val="21"/>
        </w:rPr>
        <w:t>（三）受买方装运完毕后，押金自动转为货款，</w:t>
      </w:r>
      <w:r>
        <w:rPr>
          <w:rFonts w:hint="eastAsia"/>
          <w:color w:val="FF0000"/>
        </w:rPr>
        <w:t>出卖方</w:t>
      </w:r>
      <w:r>
        <w:rPr>
          <w:rFonts w:asciiTheme="minorEastAsia" w:hAnsiTheme="minorEastAsia"/>
          <w:color w:val="FF0000"/>
        </w:rPr>
        <w:t>15</w:t>
      </w:r>
      <w:r>
        <w:rPr>
          <w:rFonts w:hint="eastAsia" w:asciiTheme="minorEastAsia" w:hAnsiTheme="minorEastAsia"/>
          <w:color w:val="FF0000"/>
        </w:rPr>
        <w:t>日内开具</w:t>
      </w:r>
      <w:r>
        <w:rPr>
          <w:rFonts w:asciiTheme="minorEastAsia" w:hAnsiTheme="minorEastAsia"/>
          <w:color w:val="FF0000"/>
        </w:rPr>
        <w:t>全额增值税专用发票</w:t>
      </w:r>
      <w:r>
        <w:rPr>
          <w:rFonts w:hint="eastAsia" w:asciiTheme="minorEastAsia" w:hAnsiTheme="minorEastAsia"/>
          <w:color w:val="FF0000"/>
        </w:rPr>
        <w:t>（</w:t>
      </w:r>
      <w:r>
        <w:rPr>
          <w:rFonts w:asciiTheme="minorEastAsia" w:hAnsiTheme="minorEastAsia"/>
          <w:color w:val="FF0000"/>
        </w:rPr>
        <w:t>13%税</w:t>
      </w:r>
      <w:r>
        <w:rPr>
          <w:rFonts w:hint="eastAsia" w:asciiTheme="minorEastAsia" w:hAnsiTheme="minorEastAsia"/>
          <w:color w:val="FF0000"/>
        </w:rPr>
        <w:t>）。</w:t>
      </w:r>
    </w:p>
    <w:p>
      <w:pPr>
        <w:pStyle w:val="2"/>
      </w:pP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第八条  担保方式（也可另立担保合同）：无</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第九条  本合同解除的条件：双方协商解决。</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第十条  违约责任：按合同法双方协商解决。</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第十一条  合同争议的解决方式：</w:t>
      </w:r>
      <w:r>
        <w:rPr>
          <w:rFonts w:cs="宋体" w:asciiTheme="minorEastAsia" w:hAnsiTheme="minorEastAsia"/>
          <w:kern w:val="0"/>
          <w:szCs w:val="21"/>
        </w:rPr>
        <w:t>因执行本合同发生争议双方可协商解决。如双方争议无法协商解决，由</w:t>
      </w:r>
      <w:r>
        <w:rPr>
          <w:rFonts w:hint="eastAsia"/>
        </w:rPr>
        <w:t>出卖方</w:t>
      </w:r>
      <w:r>
        <w:rPr>
          <w:rFonts w:cs="宋体" w:asciiTheme="minorEastAsia" w:hAnsiTheme="minorEastAsia"/>
          <w:kern w:val="0"/>
          <w:szCs w:val="21"/>
        </w:rPr>
        <w:t>所在地法院裁决，诉讼费应由败诉一方负担</w:t>
      </w:r>
      <w:r>
        <w:rPr>
          <w:rFonts w:hint="eastAsia" w:cs="宋体" w:asciiTheme="minorEastAsia" w:hAnsiTheme="minorEastAsia"/>
          <w:kern w:val="0"/>
          <w:szCs w:val="21"/>
        </w:rPr>
        <w:t>。</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第十二条  其他约定事项：</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（一）出卖方与受买方义务与责任：</w:t>
      </w:r>
    </w:p>
    <w:p>
      <w:pPr>
        <w:spacing w:line="360" w:lineRule="auto"/>
        <w:ind w:left="420" w:leftChars="200"/>
        <w:rPr>
          <w:rFonts w:hint="eastAsia" w:cs="宋体" w:asciiTheme="minorEastAsia" w:hAnsiTheme="minorEastAsia"/>
          <w:kern w:val="0"/>
          <w:szCs w:val="21"/>
        </w:rPr>
      </w:pPr>
      <w:r>
        <w:rPr>
          <w:rFonts w:hint="eastAsia" w:cs="宋体" w:asciiTheme="minorEastAsia" w:hAnsiTheme="minorEastAsia"/>
          <w:kern w:val="0"/>
          <w:szCs w:val="21"/>
        </w:rPr>
        <w:t>1. 出卖方提供待处置废旧物资的基本信息。</w:t>
      </w:r>
    </w:p>
    <w:p>
      <w:pPr>
        <w:pStyle w:val="11"/>
        <w:spacing w:line="360" w:lineRule="auto"/>
        <w:ind w:left="420" w:leftChars="200" w:firstLine="0" w:firstLineChars="0"/>
        <w:rPr>
          <w:rFonts w:hint="eastAsia" w:cs="宋体" w:asciiTheme="minorEastAsia" w:hAnsiTheme="minorEastAsia"/>
          <w:kern w:val="0"/>
          <w:szCs w:val="21"/>
        </w:rPr>
      </w:pPr>
      <w:r>
        <w:rPr>
          <w:rFonts w:hint="eastAsia" w:cs="宋体" w:asciiTheme="minorEastAsia" w:hAnsiTheme="minorEastAsia"/>
          <w:kern w:val="0"/>
          <w:szCs w:val="21"/>
        </w:rPr>
        <w:t>2. 出卖方在受买方装载废旧物资时，应指派专人负责废旧物资过磅转移的交接等手续。</w:t>
      </w:r>
    </w:p>
    <w:p>
      <w:pPr>
        <w:pStyle w:val="6"/>
        <w:widowControl/>
        <w:adjustRightInd w:val="0"/>
        <w:snapToGrid w:val="0"/>
        <w:spacing w:line="360" w:lineRule="auto"/>
        <w:ind w:left="420" w:leftChars="200"/>
        <w:rPr>
          <w:rFonts w:hint="eastAsia"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 受买方应向出卖方提供《营业执照》等相关的有效证件复印件，保证所有证件的合法有效，驾驶员、押运员必须持证上岗，主动提交出卖方现场经办人验证。</w:t>
      </w:r>
    </w:p>
    <w:p>
      <w:pPr>
        <w:spacing w:line="360" w:lineRule="auto"/>
        <w:ind w:left="420" w:leftChars="200"/>
        <w:rPr>
          <w:rFonts w:hint="eastAsia" w:cs="宋体" w:asciiTheme="minorEastAsia" w:hAnsiTheme="minorEastAsia"/>
          <w:kern w:val="0"/>
          <w:szCs w:val="21"/>
        </w:rPr>
      </w:pPr>
      <w:r>
        <w:rPr>
          <w:rFonts w:hint="eastAsia" w:cs="宋体" w:asciiTheme="minorEastAsia" w:hAnsiTheme="minorEastAsia"/>
          <w:kern w:val="0"/>
          <w:szCs w:val="21"/>
        </w:rPr>
        <w:t>4. 受买方必须严格按国家法律、法规和相关规定对出卖方出卖的废旧物资进行规范运输和处置，</w:t>
      </w:r>
      <w:r>
        <w:rPr>
          <w:rFonts w:hint="eastAsia" w:cs="宋体" w:asciiTheme="minorEastAsia" w:hAnsiTheme="minorEastAsia"/>
          <w:color w:val="FF0000"/>
          <w:kern w:val="0"/>
          <w:szCs w:val="21"/>
        </w:rPr>
        <w:t>乙方根据相关法律法规要求告知甲方本次处置废物最终去向，并提供最终处置单位相关资质的证明材料。</w:t>
      </w:r>
    </w:p>
    <w:p>
      <w:pPr>
        <w:spacing w:line="360" w:lineRule="auto"/>
        <w:ind w:left="420" w:leftChars="200"/>
        <w:rPr>
          <w:rFonts w:hint="eastAsia" w:cs="宋体" w:asciiTheme="minorEastAsia" w:hAnsiTheme="minorEastAsia"/>
          <w:kern w:val="0"/>
          <w:szCs w:val="21"/>
        </w:rPr>
      </w:pPr>
      <w:r>
        <w:rPr>
          <w:rFonts w:hint="eastAsia" w:cs="宋体" w:asciiTheme="minorEastAsia" w:hAnsiTheme="minorEastAsia"/>
          <w:kern w:val="0"/>
          <w:szCs w:val="21"/>
        </w:rPr>
        <w:t>5. 受买方如委托第三方进行转运，则第三方运输资质和车辆营运证件等应报出卖方备案。</w:t>
      </w:r>
    </w:p>
    <w:p>
      <w:pPr>
        <w:pStyle w:val="6"/>
        <w:widowControl/>
        <w:adjustRightInd w:val="0"/>
        <w:snapToGrid w:val="0"/>
        <w:spacing w:line="360" w:lineRule="auto"/>
        <w:ind w:left="420" w:leftChars="200"/>
        <w:rPr>
          <w:rFonts w:hint="eastAsia"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 受买方运输人员须及时与出卖方现场代表对运输的废旧物资数量进行核实，并以书面形式签字确认。</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（二）受买方装运废旧物资时必须证件齐全，并且无条件服从现场管理。</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（三）受买方装运废旧物资时一切安全自负，与出卖方无关。</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（四）</w:t>
      </w:r>
      <w:r>
        <w:rPr>
          <w:rFonts w:hint="eastAsia" w:asciiTheme="minorEastAsia" w:hAnsiTheme="minorEastAsia"/>
          <w:szCs w:val="21"/>
        </w:rPr>
        <w:t>受买方</w:t>
      </w:r>
      <w:r>
        <w:rPr>
          <w:rFonts w:hint="eastAsia" w:cs="宋体" w:asciiTheme="minorEastAsia" w:hAnsiTheme="minorEastAsia"/>
          <w:kern w:val="0"/>
          <w:szCs w:val="21"/>
        </w:rPr>
        <w:t>装运废品过程中确保环保、不污染环境，废旧物资处理结束后须将场地清理干净。</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（五）装货要求：受买方必须及时组织合格、足够的运输工具进行运输，必须保证及时清运，不得造成现场拥堵，影响现场施工。</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六）当受买方在履行协议过程中不能满足出卖方的进度、环保或安全要求时，出卖方有权立即单方面中止协议，并扣除受买方履约保证金，并按照江苏南通发电有限公司供应商管理办法中供应商不良行为处罚措施进行处罚。</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（七）为明确双方安全责任，保证施工安全，双方在签订销售合同后，必须签订安全管理协议书。</w:t>
      </w:r>
    </w:p>
    <w:p>
      <w:pPr>
        <w:widowControl/>
        <w:spacing w:line="360" w:lineRule="auto"/>
        <w:jc w:val="left"/>
        <w:rPr>
          <w:rFonts w:hint="eastAsia" w:cs="宋体" w:asciiTheme="minorEastAsia" w:hAnsiTheme="minorEastAsia"/>
          <w:kern w:val="0"/>
          <w:szCs w:val="21"/>
        </w:rPr>
      </w:pPr>
      <w:r>
        <w:rPr>
          <w:rFonts w:hint="eastAsia" w:cs="宋体" w:asciiTheme="minorEastAsia" w:hAnsiTheme="minorEastAsia"/>
          <w:kern w:val="0"/>
          <w:szCs w:val="21"/>
        </w:rPr>
        <w:t>（八）为加强廉政建设和开展反舞弊工作，受买方如违反廉政规定，有舞弊行为，一经发现，出卖方则在己方合格供应商库内将其列入“黑名单”。</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第十三条  本合同经双方签字盖章后生效。本合同一式四份，双方各执两份。</w:t>
      </w:r>
    </w:p>
    <w:p>
      <w:pPr>
        <w:spacing w:line="360" w:lineRule="auto"/>
        <w:rPr>
          <w:rFonts w:hint="eastAsia" w:cs="宋体" w:asciiTheme="minorEastAsia" w:hAnsiTheme="minorEastAsia"/>
          <w:kern w:val="0"/>
          <w:szCs w:val="21"/>
        </w:rPr>
      </w:pPr>
      <w:r>
        <w:rPr>
          <w:rFonts w:hint="eastAsia" w:cs="宋体" w:asciiTheme="minorEastAsia" w:hAnsiTheme="minorEastAsia"/>
          <w:kern w:val="0"/>
          <w:szCs w:val="21"/>
        </w:rPr>
        <w:t>第十四条  本合同有效期从合同签订之日起至本次工作结束止。</w:t>
      </w:r>
    </w:p>
    <w:p>
      <w:pPr>
        <w:rPr>
          <w:rFonts w:hint="eastAsia" w:cs="宋体" w:asciiTheme="minorEastAsia" w:hAnsiTheme="minorEastAsia"/>
          <w:kern w:val="0"/>
          <w:szCs w:val="21"/>
        </w:rPr>
      </w:pPr>
    </w:p>
    <w:tbl>
      <w:tblPr>
        <w:tblStyle w:val="8"/>
        <w:tblW w:w="86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5"/>
        <w:gridCol w:w="4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jc w:val="center"/>
              <w:rPr>
                <w:rFonts w:hint="eastAsia" w:ascii="宋体" w:hAnsi="宋体" w:eastAsia="宋体" w:cs="宋体"/>
                <w:szCs w:val="21"/>
              </w:rPr>
            </w:pPr>
            <w:r>
              <w:rPr>
                <w:rFonts w:hint="eastAsia" w:ascii="宋体" w:hAnsi="宋体" w:eastAsia="宋体" w:cs="宋体"/>
                <w:szCs w:val="21"/>
              </w:rPr>
              <w:t>受买方</w:t>
            </w:r>
          </w:p>
        </w:tc>
        <w:tc>
          <w:tcPr>
            <w:tcW w:w="4479" w:type="dxa"/>
            <w:vAlign w:val="center"/>
          </w:tcPr>
          <w:p>
            <w:pPr>
              <w:jc w:val="center"/>
              <w:rPr>
                <w:rFonts w:hint="eastAsia" w:ascii="宋体" w:hAnsi="宋体" w:eastAsia="宋体" w:cs="宋体"/>
                <w:szCs w:val="21"/>
              </w:rPr>
            </w:pPr>
            <w:r>
              <w:rPr>
                <w:rFonts w:hint="eastAsia" w:ascii="宋体" w:hAnsi="宋体" w:eastAsia="宋体" w:cs="宋体"/>
                <w:szCs w:val="21"/>
              </w:rPr>
              <w:t>出卖方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单位名称：</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单位名称：江苏南通发电有限公司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8"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单位地址：</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单位地址：南通市港闸区芦泾路1号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委托代理人：</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电话：</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电话：0513-85568084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开户银行：</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开户银行：中国工商银行南通普贤路支行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帐号：</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账号：1111823209000059811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税号：</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 xml:space="preserve">税号：9132060057815804XQ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ascii="宋体" w:hAnsi="宋体" w:eastAsia="宋体" w:cs="宋体"/>
                <w:szCs w:val="21"/>
              </w:rPr>
              <w:t>邮编：</w:t>
            </w:r>
          </w:p>
        </w:tc>
        <w:tc>
          <w:tcPr>
            <w:tcW w:w="4479" w:type="dxa"/>
            <w:vAlign w:val="center"/>
          </w:tcPr>
          <w:p>
            <w:pPr>
              <w:rPr>
                <w:rFonts w:hint="eastAsia" w:ascii="宋体" w:hAnsi="宋体" w:eastAsia="宋体" w:cs="宋体"/>
                <w:szCs w:val="21"/>
              </w:rPr>
            </w:pPr>
            <w:r>
              <w:rPr>
                <w:rFonts w:hint="eastAsia" w:ascii="宋体" w:hAnsi="宋体" w:eastAsia="宋体" w:cs="宋体"/>
                <w:szCs w:val="21"/>
              </w:rPr>
              <w:t>邮编：226003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155" w:type="dxa"/>
            <w:vAlign w:val="center"/>
          </w:tcPr>
          <w:p>
            <w:pPr>
              <w:rPr>
                <w:rFonts w:hint="eastAsia" w:ascii="宋体" w:hAnsi="宋体" w:eastAsia="宋体" w:cs="宋体"/>
                <w:szCs w:val="21"/>
              </w:rPr>
            </w:pPr>
            <w:r>
              <w:rPr>
                <w:rFonts w:hint="eastAsia" w:cs="宋体" w:asciiTheme="minorEastAsia" w:hAnsiTheme="minorEastAsia"/>
                <w:kern w:val="0"/>
                <w:szCs w:val="21"/>
              </w:rPr>
              <w:t>签字</w:t>
            </w:r>
            <w:r>
              <w:rPr>
                <w:rFonts w:hint="eastAsia" w:cs="宋体" w:asciiTheme="minorEastAsia" w:hAnsiTheme="minorEastAsia"/>
                <w:kern w:val="0"/>
                <w:szCs w:val="21"/>
                <w:lang w:val="en-US" w:eastAsia="zh-CN"/>
              </w:rPr>
              <w:t>日期</w:t>
            </w:r>
            <w:r>
              <w:rPr>
                <w:rFonts w:hint="eastAsia" w:cs="宋体" w:asciiTheme="minorEastAsia" w:hAnsiTheme="minorEastAsia"/>
                <w:kern w:val="0"/>
                <w:szCs w:val="21"/>
              </w:rPr>
              <w:t>：   年   月   日</w:t>
            </w:r>
          </w:p>
        </w:tc>
        <w:tc>
          <w:tcPr>
            <w:tcW w:w="4479" w:type="dxa"/>
            <w:vAlign w:val="center"/>
          </w:tcPr>
          <w:p>
            <w:pPr>
              <w:rPr>
                <w:rFonts w:hint="eastAsia" w:ascii="宋体" w:hAnsi="宋体" w:eastAsia="宋体" w:cs="宋体"/>
                <w:szCs w:val="21"/>
              </w:rPr>
            </w:pPr>
            <w:r>
              <w:rPr>
                <w:rFonts w:hint="eastAsia" w:cs="宋体" w:asciiTheme="minorEastAsia" w:hAnsiTheme="minorEastAsia"/>
                <w:kern w:val="0"/>
                <w:szCs w:val="21"/>
              </w:rPr>
              <w:t>签字</w:t>
            </w:r>
            <w:r>
              <w:rPr>
                <w:rFonts w:hint="eastAsia" w:cs="宋体" w:asciiTheme="minorEastAsia" w:hAnsiTheme="minorEastAsia"/>
                <w:kern w:val="0"/>
                <w:szCs w:val="21"/>
                <w:lang w:val="en-US" w:eastAsia="zh-CN"/>
              </w:rPr>
              <w:t>日期</w:t>
            </w:r>
            <w:bookmarkStart w:id="0" w:name="_GoBack"/>
            <w:bookmarkEnd w:id="0"/>
            <w:r>
              <w:rPr>
                <w:rFonts w:hint="eastAsia" w:cs="宋体" w:asciiTheme="minorEastAsia" w:hAnsiTheme="minorEastAsia"/>
                <w:kern w:val="0"/>
                <w:szCs w:val="21"/>
              </w:rPr>
              <w:t>：   年   月   日</w:t>
            </w:r>
          </w:p>
        </w:tc>
      </w:tr>
    </w:tbl>
    <w:p>
      <w:pPr>
        <w:rPr>
          <w:rFonts w:hint="eastAsia" w:ascii="宋体" w:hAnsi="宋体" w:cs="宋体"/>
          <w:kern w:val="0"/>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82383"/>
    <w:rsid w:val="00007F3B"/>
    <w:rsid w:val="00094CFB"/>
    <w:rsid w:val="000C5414"/>
    <w:rsid w:val="000C6882"/>
    <w:rsid w:val="000D0C3D"/>
    <w:rsid w:val="000E3DEC"/>
    <w:rsid w:val="000F7198"/>
    <w:rsid w:val="00135858"/>
    <w:rsid w:val="00151E42"/>
    <w:rsid w:val="001608C9"/>
    <w:rsid w:val="00171DB4"/>
    <w:rsid w:val="00175A78"/>
    <w:rsid w:val="00176DD0"/>
    <w:rsid w:val="001B2C38"/>
    <w:rsid w:val="001B6A9B"/>
    <w:rsid w:val="001C3CCB"/>
    <w:rsid w:val="001E62AB"/>
    <w:rsid w:val="001F569A"/>
    <w:rsid w:val="0020189B"/>
    <w:rsid w:val="0020205C"/>
    <w:rsid w:val="00266162"/>
    <w:rsid w:val="00283700"/>
    <w:rsid w:val="002841B8"/>
    <w:rsid w:val="002A2FAC"/>
    <w:rsid w:val="002E1CF5"/>
    <w:rsid w:val="003145EF"/>
    <w:rsid w:val="00325E25"/>
    <w:rsid w:val="00382383"/>
    <w:rsid w:val="00384E10"/>
    <w:rsid w:val="003B3566"/>
    <w:rsid w:val="003E1EC5"/>
    <w:rsid w:val="00400657"/>
    <w:rsid w:val="004176F8"/>
    <w:rsid w:val="00442A81"/>
    <w:rsid w:val="0047605C"/>
    <w:rsid w:val="00477949"/>
    <w:rsid w:val="004A5F87"/>
    <w:rsid w:val="004B2661"/>
    <w:rsid w:val="004C43BB"/>
    <w:rsid w:val="00505675"/>
    <w:rsid w:val="0050797F"/>
    <w:rsid w:val="00524618"/>
    <w:rsid w:val="00537D7A"/>
    <w:rsid w:val="00567CB6"/>
    <w:rsid w:val="005766D1"/>
    <w:rsid w:val="00584626"/>
    <w:rsid w:val="005D66DF"/>
    <w:rsid w:val="005E0403"/>
    <w:rsid w:val="005E780F"/>
    <w:rsid w:val="005F12E9"/>
    <w:rsid w:val="005F3B19"/>
    <w:rsid w:val="0061375D"/>
    <w:rsid w:val="00652F40"/>
    <w:rsid w:val="00653FF3"/>
    <w:rsid w:val="006B3D5A"/>
    <w:rsid w:val="006B7932"/>
    <w:rsid w:val="006C0F8A"/>
    <w:rsid w:val="006E357F"/>
    <w:rsid w:val="00707F7D"/>
    <w:rsid w:val="00715A38"/>
    <w:rsid w:val="00736D0F"/>
    <w:rsid w:val="00740FD1"/>
    <w:rsid w:val="00753724"/>
    <w:rsid w:val="007A57CC"/>
    <w:rsid w:val="007B5D2E"/>
    <w:rsid w:val="007B6172"/>
    <w:rsid w:val="007D5E7D"/>
    <w:rsid w:val="00803582"/>
    <w:rsid w:val="0086346A"/>
    <w:rsid w:val="00881B8B"/>
    <w:rsid w:val="00895B8C"/>
    <w:rsid w:val="008F47C3"/>
    <w:rsid w:val="00957AA3"/>
    <w:rsid w:val="00975074"/>
    <w:rsid w:val="0097636D"/>
    <w:rsid w:val="009C29CC"/>
    <w:rsid w:val="009E03DE"/>
    <w:rsid w:val="00A13017"/>
    <w:rsid w:val="00A16632"/>
    <w:rsid w:val="00A32CAA"/>
    <w:rsid w:val="00A410CB"/>
    <w:rsid w:val="00A46940"/>
    <w:rsid w:val="00A54A5B"/>
    <w:rsid w:val="00A6172C"/>
    <w:rsid w:val="00A77592"/>
    <w:rsid w:val="00A939B9"/>
    <w:rsid w:val="00AC3F77"/>
    <w:rsid w:val="00AD5E16"/>
    <w:rsid w:val="00AE0333"/>
    <w:rsid w:val="00AF3408"/>
    <w:rsid w:val="00B06FE0"/>
    <w:rsid w:val="00B77331"/>
    <w:rsid w:val="00B95430"/>
    <w:rsid w:val="00BA5F7A"/>
    <w:rsid w:val="00BB08B5"/>
    <w:rsid w:val="00BD7C19"/>
    <w:rsid w:val="00C14CC3"/>
    <w:rsid w:val="00C2157C"/>
    <w:rsid w:val="00C23D0C"/>
    <w:rsid w:val="00C26824"/>
    <w:rsid w:val="00C416B9"/>
    <w:rsid w:val="00C940AF"/>
    <w:rsid w:val="00D33A27"/>
    <w:rsid w:val="00D52508"/>
    <w:rsid w:val="00D60687"/>
    <w:rsid w:val="00D64CAC"/>
    <w:rsid w:val="00DA1F2F"/>
    <w:rsid w:val="00DB3ADC"/>
    <w:rsid w:val="00DC2B35"/>
    <w:rsid w:val="00DC6865"/>
    <w:rsid w:val="00DC700E"/>
    <w:rsid w:val="00DD0835"/>
    <w:rsid w:val="00E2719A"/>
    <w:rsid w:val="00E45670"/>
    <w:rsid w:val="00E46ABB"/>
    <w:rsid w:val="00E61D23"/>
    <w:rsid w:val="00E70153"/>
    <w:rsid w:val="00EB0A47"/>
    <w:rsid w:val="00EC009F"/>
    <w:rsid w:val="00F24758"/>
    <w:rsid w:val="00F30E96"/>
    <w:rsid w:val="00F35AC5"/>
    <w:rsid w:val="00F474C7"/>
    <w:rsid w:val="00F609C2"/>
    <w:rsid w:val="00F77390"/>
    <w:rsid w:val="00F81B59"/>
    <w:rsid w:val="00F91937"/>
    <w:rsid w:val="00FA74AA"/>
    <w:rsid w:val="00FB4CA2"/>
    <w:rsid w:val="00FC6958"/>
    <w:rsid w:val="00FD0AE7"/>
    <w:rsid w:val="00FF5FDF"/>
    <w:rsid w:val="027C34CD"/>
    <w:rsid w:val="02C822D2"/>
    <w:rsid w:val="02E8070E"/>
    <w:rsid w:val="072917F5"/>
    <w:rsid w:val="079E4026"/>
    <w:rsid w:val="08C5133D"/>
    <w:rsid w:val="0C1161AD"/>
    <w:rsid w:val="0C1C705E"/>
    <w:rsid w:val="0CDF5944"/>
    <w:rsid w:val="0D3871F5"/>
    <w:rsid w:val="12E67694"/>
    <w:rsid w:val="15826DE5"/>
    <w:rsid w:val="16926657"/>
    <w:rsid w:val="18780AF8"/>
    <w:rsid w:val="18D66815"/>
    <w:rsid w:val="192B2AAA"/>
    <w:rsid w:val="22423672"/>
    <w:rsid w:val="233B1F3C"/>
    <w:rsid w:val="23701167"/>
    <w:rsid w:val="28106A53"/>
    <w:rsid w:val="298B7E8F"/>
    <w:rsid w:val="2B186B8F"/>
    <w:rsid w:val="2BB31860"/>
    <w:rsid w:val="2C8E0F53"/>
    <w:rsid w:val="2D2D1979"/>
    <w:rsid w:val="2D5D56DD"/>
    <w:rsid w:val="2E967C48"/>
    <w:rsid w:val="31E14880"/>
    <w:rsid w:val="32351405"/>
    <w:rsid w:val="341702C8"/>
    <w:rsid w:val="35AA4778"/>
    <w:rsid w:val="37567976"/>
    <w:rsid w:val="3C2D35E7"/>
    <w:rsid w:val="3CEF5846"/>
    <w:rsid w:val="3F4E343B"/>
    <w:rsid w:val="4B536DD3"/>
    <w:rsid w:val="5083221D"/>
    <w:rsid w:val="5297505C"/>
    <w:rsid w:val="54C37186"/>
    <w:rsid w:val="55D74479"/>
    <w:rsid w:val="58AB77F1"/>
    <w:rsid w:val="58CE46AF"/>
    <w:rsid w:val="591A1F1A"/>
    <w:rsid w:val="5A0B67EF"/>
    <w:rsid w:val="5FBE316F"/>
    <w:rsid w:val="5FE61A32"/>
    <w:rsid w:val="60FA4917"/>
    <w:rsid w:val="625105F8"/>
    <w:rsid w:val="640756D2"/>
    <w:rsid w:val="66454B84"/>
    <w:rsid w:val="67A744BD"/>
    <w:rsid w:val="69F52677"/>
    <w:rsid w:val="6AD0672F"/>
    <w:rsid w:val="6B381348"/>
    <w:rsid w:val="6BDD519F"/>
    <w:rsid w:val="6EA2404F"/>
    <w:rsid w:val="6F1F2A02"/>
    <w:rsid w:val="6F217821"/>
    <w:rsid w:val="70E05483"/>
    <w:rsid w:val="72886E21"/>
    <w:rsid w:val="72FB5763"/>
    <w:rsid w:val="73A4629B"/>
    <w:rsid w:val="78E4168B"/>
    <w:rsid w:val="79056C82"/>
    <w:rsid w:val="7B0943EA"/>
    <w:rsid w:val="7CC71D35"/>
    <w:rsid w:val="7CE85247"/>
    <w:rsid w:val="7D9C7EFB"/>
    <w:rsid w:val="7E5460EC"/>
    <w:rsid w:val="7F7009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6" w:lineRule="auto"/>
      <w:outlineLvl w:val="0"/>
    </w:pPr>
    <w:rPr>
      <w:b/>
      <w:kern w:val="44"/>
      <w:sz w:val="44"/>
    </w:rPr>
  </w:style>
  <w:style w:type="character" w:default="1" w:styleId="7">
    <w:name w:val="Default Paragraph Font"/>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rPr>
      <w:rFonts w:ascii="Calibri" w:hAnsi="Calibri" w:eastAsia="宋体" w:cs="Times New Roman"/>
      <w:sz w:val="24"/>
      <w:szCs w:val="24"/>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D207F1-01A5-4BC2-AE17-7D7176AA574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1552</Words>
  <Characters>341</Characters>
  <Lines>21</Lines>
  <Paragraphs>75</Paragraphs>
  <TotalTime>2</TotalTime>
  <ScaleCrop>false</ScaleCrop>
  <LinksUpToDate>false</LinksUpToDate>
  <CharactersWithSpaces>1818</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2021-06-28T02:50:00Z</dcterms:created>
  <dc:creator>朱云祥.NT</dc:creator>
  <cp:lastModifiedBy>luqinan.stdc</cp:lastModifiedBy>
  <dcterms:modified xsi:type="dcterms:W3CDTF">2025-11-19T06:26:30Z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6DB314A2CFF2441D9A87F7EBDB436EFA</vt:lpwstr>
  </property>
  <property fmtid="{D5CDD505-2E9C-101B-9397-08002B2CF9AE}" pid="4" name="KSOTemplateDocerSaveRecord">
    <vt:lpwstr>eyJoZGlkIjoiNDM5NWE2OWNiODFlYzNiNzc0NjlkMDM0ZmQ0NDIyMzEiLCJ1c2VySWQiOiI2MDQ3NTk1NzUifQ==</vt:lpwstr>
  </property>
</Properties>
</file>