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ind w:left="0" w:right="0"/>
        <w:jc w:val="center"/>
        <w:rPr>
          <w:rFonts w:hint="default" w:ascii="方正小标宋简体" w:hAnsi="方正小标宋简体" w:eastAsia="方正小标宋简体" w:cs="方正小标宋简体"/>
          <w:b w:val="0"/>
          <w:bCs w:val="0"/>
          <w:color w:val="000000"/>
          <w:kern w:val="0"/>
          <w:sz w:val="44"/>
          <w:szCs w:val="44"/>
          <w:u w:val="single" w:color="000000"/>
          <w:lang w:val="en-US" w:eastAsia="zh-CN" w:bidi="ar"/>
        </w:rPr>
      </w:pPr>
      <w:r>
        <w:rPr>
          <w:rFonts w:hint="default" w:ascii="方正小标宋简体" w:hAnsi="方正小标宋简体" w:eastAsia="方正小标宋简体" w:cs="方正小标宋简体"/>
          <w:b w:val="0"/>
          <w:bCs w:val="0"/>
          <w:color w:val="000000"/>
          <w:kern w:val="0"/>
          <w:sz w:val="44"/>
          <w:szCs w:val="44"/>
          <w:u w:val="single" w:color="000000"/>
          <w:lang w:val="en-US" w:eastAsia="zh-CN" w:bidi="ar"/>
        </w:rPr>
        <w:t>华能吉木萨尔光伏电站继电保护测试仪</w:t>
      </w:r>
    </w:p>
    <w:p>
      <w:pPr>
        <w:adjustRightInd w:val="0"/>
        <w:spacing w:before="120" w:beforeLines="50" w:line="360" w:lineRule="auto"/>
        <w:ind w:firstLine="0" w:firstLineChars="0"/>
        <w:jc w:val="center"/>
        <w:outlineLvl w:val="1"/>
        <w:rPr>
          <w:rFonts w:hint="eastAsia" w:ascii="黑体" w:hAnsi="黑体" w:eastAsia="黑体" w:cs="Microsoft JhengHei"/>
          <w:bCs/>
          <w:sz w:val="28"/>
          <w:szCs w:val="28"/>
          <w:highlight w:val="none"/>
          <w:lang w:val="en-US" w:eastAsia="zh-CN"/>
        </w:rPr>
      </w:pPr>
      <w:r>
        <w:rPr>
          <w:rFonts w:hint="default" w:ascii="方正小标宋简体" w:hAnsi="方正小标宋简体" w:eastAsia="方正小标宋简体" w:cs="方正小标宋简体"/>
          <w:color w:val="000000"/>
          <w:kern w:val="0"/>
          <w:sz w:val="44"/>
          <w:szCs w:val="44"/>
          <w:lang w:val="en-US" w:eastAsia="zh-CN" w:bidi="ar"/>
        </w:rPr>
        <w:t>技术规范书</w:t>
      </w:r>
    </w:p>
    <w:p>
      <w:pPr>
        <w:adjustRightInd w:val="0"/>
        <w:spacing w:before="120" w:beforeLines="50" w:line="360" w:lineRule="auto"/>
        <w:ind w:firstLine="0" w:firstLineChars="0"/>
        <w:outlineLvl w:val="2"/>
        <w:rPr>
          <w:rFonts w:hint="default" w:ascii="黑体" w:hAnsi="黑体" w:eastAsia="黑体" w:cs="Times New Roman"/>
          <w:szCs w:val="24"/>
          <w:highlight w:val="none"/>
          <w:lang w:val="en-US" w:eastAsia="zh-CN"/>
        </w:rPr>
      </w:pPr>
      <w:r>
        <w:rPr>
          <w:rFonts w:hint="eastAsia" w:ascii="黑体" w:hAnsi="黑体" w:eastAsia="黑体" w:cs="Times New Roman"/>
          <w:szCs w:val="24"/>
          <w:highlight w:val="none"/>
          <w:lang w:val="en-US" w:eastAsia="zh-CN"/>
        </w:rPr>
        <w:t>1</w:t>
      </w:r>
      <w:r>
        <w:rPr>
          <w:rFonts w:hint="default" w:ascii="黑体" w:hAnsi="黑体" w:eastAsia="黑体" w:cs="Times New Roman"/>
          <w:szCs w:val="24"/>
          <w:highlight w:val="none"/>
          <w:lang w:val="en-US" w:eastAsia="zh-CN"/>
        </w:rPr>
        <w:t>项目概述</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华能吉木萨尔光伏电站位于新疆昌吉州吉木萨尔县三台镇老台乡光伏园区内，占地面积236.65公顷（约3550亩），总装机容量100MW，</w:t>
      </w:r>
      <w:r>
        <w:rPr>
          <w:rFonts w:hint="default" w:ascii="Times New Roman" w:hAnsi="Times New Roman" w:eastAsia="宋体" w:cs="Times New Roman"/>
          <w:kern w:val="2"/>
          <w:sz w:val="21"/>
          <w:szCs w:val="21"/>
          <w:highlight w:val="none"/>
          <w:lang w:val="en-US" w:eastAsia="zh-CN" w:bidi="ar-SA"/>
        </w:rPr>
        <w:t>吉木萨尔光伏阵列区由32台箱变组成升压送电单元，</w:t>
      </w:r>
      <w:r>
        <w:rPr>
          <w:rFonts w:hint="eastAsia" w:ascii="Times New Roman" w:hAnsi="Times New Roman" w:eastAsia="宋体" w:cs="Times New Roman"/>
          <w:kern w:val="2"/>
          <w:sz w:val="21"/>
          <w:szCs w:val="21"/>
          <w:highlight w:val="none"/>
          <w:lang w:val="en-US" w:eastAsia="zh-CN" w:bidi="ar-SA"/>
        </w:rPr>
        <w:t>以1台110kV主变送出上网，电站保护系统由110kV母线A套、35kV母线A套、110kV1号主变A套、110kV 1号主变B套、110kV 1号主变非电量保护等保护系统作为主保护。为提高吉木萨尔光电站自主检修能力，较快的检测分析出二次保护故障，同时提高年检预试的自主</w:t>
      </w:r>
      <w:r>
        <w:rPr>
          <w:rFonts w:hint="eastAsia" w:ascii="Times New Roman" w:hAnsi="Times New Roman" w:cs="Times New Roman"/>
          <w:kern w:val="2"/>
          <w:sz w:val="21"/>
          <w:szCs w:val="21"/>
          <w:highlight w:val="none"/>
          <w:lang w:val="en-US" w:eastAsia="zh-CN" w:bidi="ar-SA"/>
        </w:rPr>
        <w:t>预试</w:t>
      </w:r>
      <w:r>
        <w:rPr>
          <w:rFonts w:hint="eastAsia" w:ascii="Times New Roman" w:hAnsi="Times New Roman" w:eastAsia="宋体" w:cs="Times New Roman"/>
          <w:kern w:val="2"/>
          <w:sz w:val="21"/>
          <w:szCs w:val="21"/>
          <w:highlight w:val="none"/>
          <w:lang w:val="en-US" w:eastAsia="zh-CN" w:bidi="ar-SA"/>
        </w:rPr>
        <w:t>性，进一步提公司员工的二次继电保护水平，按照功能类型需求，需购买2台继电保护测试仪。</w:t>
      </w:r>
    </w:p>
    <w:p>
      <w:pPr>
        <w:adjustRightInd w:val="0"/>
        <w:spacing w:before="120" w:beforeLines="50" w:line="360" w:lineRule="auto"/>
        <w:ind w:firstLine="0" w:firstLineChars="0"/>
        <w:outlineLvl w:val="2"/>
        <w:rPr>
          <w:rFonts w:hint="eastAsia" w:ascii="黑体" w:hAnsi="黑体" w:eastAsia="黑体" w:cs="Times New Roman"/>
          <w:szCs w:val="24"/>
          <w:highlight w:val="none"/>
          <w:lang w:val="en-US" w:eastAsia="zh-CN"/>
        </w:rPr>
      </w:pPr>
      <w:r>
        <w:rPr>
          <w:rFonts w:hint="eastAsia" w:ascii="黑体" w:hAnsi="黑体" w:eastAsia="黑体" w:cs="Times New Roman"/>
          <w:szCs w:val="24"/>
          <w:highlight w:val="none"/>
          <w:lang w:val="en-US" w:eastAsia="zh-CN"/>
        </w:rPr>
        <w:t>1.1交货期、地点</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1.1.1交货期限：在合同生效后2天，乙方按照甲方要求将尽快安排发货，15日内必须交付货物到甲方指定</w:t>
      </w:r>
      <w:r>
        <w:rPr>
          <w:rFonts w:hint="eastAsia" w:ascii="Times New Roman" w:hAnsi="Times New Roman" w:cs="Times New Roman"/>
          <w:kern w:val="2"/>
          <w:sz w:val="21"/>
          <w:szCs w:val="21"/>
          <w:highlight w:val="none"/>
          <w:lang w:val="en-US" w:eastAsia="zh-CN" w:bidi="ar-SA"/>
        </w:rPr>
        <w:t>地点</w:t>
      </w:r>
      <w:r>
        <w:rPr>
          <w:rFonts w:hint="eastAsia" w:ascii="Times New Roman" w:hAnsi="Times New Roman" w:eastAsia="宋体" w:cs="Times New Roman"/>
          <w:kern w:val="2"/>
          <w:sz w:val="21"/>
          <w:szCs w:val="21"/>
          <w:highlight w:val="none"/>
          <w:lang w:val="en-US" w:eastAsia="zh-CN" w:bidi="ar-SA"/>
        </w:rPr>
        <w:t>。</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1.1.2交货地点：华能吉木萨尔光伏电站（新疆昌吉州吉木萨尔县三台镇老台乡光伏园区内华能4号地）</w:t>
      </w:r>
      <w:r>
        <w:rPr>
          <w:rFonts w:hint="eastAsia" w:ascii="Times New Roman" w:hAnsi="Times New Roman" w:cs="Times New Roman"/>
          <w:kern w:val="2"/>
          <w:sz w:val="21"/>
          <w:szCs w:val="21"/>
          <w:highlight w:val="none"/>
          <w:lang w:val="en-US" w:eastAsia="zh-CN" w:bidi="ar-SA"/>
        </w:rPr>
        <w:t>。</w:t>
      </w:r>
    </w:p>
    <w:p>
      <w:pPr>
        <w:numPr>
          <w:ilvl w:val="0"/>
          <w:numId w:val="0"/>
        </w:numPr>
        <w:spacing w:line="360" w:lineRule="auto"/>
        <w:ind w:leftChars="0"/>
        <w:rPr>
          <w:rFonts w:hint="eastAsia" w:ascii="黑体" w:hAnsi="黑体" w:eastAsia="黑体" w:cs="Times New Roman"/>
          <w:szCs w:val="24"/>
          <w:highlight w:val="none"/>
          <w:lang w:val="en-US" w:eastAsia="zh-CN"/>
        </w:rPr>
      </w:pPr>
      <w:r>
        <w:rPr>
          <w:rFonts w:hint="eastAsia" w:ascii="黑体" w:hAnsi="黑体" w:eastAsia="黑体" w:cs="Times New Roman"/>
          <w:szCs w:val="24"/>
          <w:highlight w:val="none"/>
          <w:lang w:val="en-US" w:eastAsia="zh-CN"/>
        </w:rPr>
        <w:t xml:space="preserve">2设备型号 </w:t>
      </w:r>
    </w:p>
    <w:p>
      <w:pPr>
        <w:pStyle w:val="2"/>
        <w:ind w:firstLine="420" w:firstLineChars="200"/>
        <w:rPr>
          <w:rFonts w:hint="default"/>
          <w:lang w:val="en-US" w:eastAsia="zh-CN"/>
        </w:rPr>
      </w:pPr>
      <w:r>
        <w:rPr>
          <w:rFonts w:hint="eastAsia"/>
          <w:lang w:val="en-US" w:eastAsia="zh-CN"/>
        </w:rPr>
        <w:t xml:space="preserve">2.1  </w:t>
      </w:r>
      <w:r>
        <w:rPr>
          <w:rFonts w:hint="eastAsia" w:ascii="Times New Roman" w:hAnsi="Times New Roman" w:cs="Times New Roman"/>
          <w:kern w:val="2"/>
          <w:sz w:val="21"/>
          <w:szCs w:val="21"/>
          <w:highlight w:val="none"/>
          <w:lang w:val="en-US" w:eastAsia="zh-CN" w:bidi="ar-SA"/>
        </w:rPr>
        <w:t>ONLLY-AQ6060G计算机自动化继电保护测试仪</w:t>
      </w:r>
      <w:bookmarkStart w:id="0" w:name="_GoBack"/>
      <w:bookmarkEnd w:id="0"/>
      <w:r>
        <w:rPr>
          <w:rFonts w:hint="eastAsia" w:cs="Times New Roman"/>
          <w:kern w:val="2"/>
          <w:sz w:val="21"/>
          <w:szCs w:val="21"/>
          <w:highlight w:val="none"/>
          <w:lang w:val="en-US" w:eastAsia="zh-CN" w:bidi="ar-SA"/>
        </w:rPr>
        <w:t>。</w:t>
      </w:r>
    </w:p>
    <w:p>
      <w:pPr>
        <w:numPr>
          <w:ilvl w:val="0"/>
          <w:numId w:val="0"/>
        </w:numPr>
        <w:spacing w:line="360" w:lineRule="auto"/>
        <w:ind w:leftChars="0"/>
        <w:rPr>
          <w:rFonts w:ascii="宋体" w:hAnsi="宋体"/>
          <w:b/>
          <w:bCs/>
          <w:color w:val="000000"/>
          <w:sz w:val="24"/>
          <w:szCs w:val="24"/>
          <w:shd w:val="pct10" w:color="auto" w:fill="FFFFFF"/>
        </w:rPr>
      </w:pPr>
      <w:r>
        <w:rPr>
          <w:rFonts w:hint="eastAsia" w:ascii="黑体" w:hAnsi="黑体" w:eastAsia="黑体" w:cs="Times New Roman"/>
          <w:szCs w:val="24"/>
          <w:highlight w:val="none"/>
          <w:lang w:val="en-US" w:eastAsia="zh-CN"/>
        </w:rPr>
        <w:t xml:space="preserve">3主要硬件配置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 xml:space="preserve">3.1  </w:t>
      </w:r>
      <w:r>
        <w:rPr>
          <w:rFonts w:hint="eastAsia" w:ascii="Times New Roman" w:hAnsi="Times New Roman" w:eastAsia="宋体" w:cs="Times New Roman"/>
          <w:kern w:val="2"/>
          <w:sz w:val="21"/>
          <w:szCs w:val="21"/>
          <w:highlight w:val="none"/>
          <w:lang w:val="en-US" w:eastAsia="zh-CN" w:bidi="ar-SA"/>
        </w:rPr>
        <w:t>六路电压源</w:t>
      </w:r>
      <w:r>
        <w:rPr>
          <w:rFonts w:hint="eastAsia" w:ascii="Times New Roman" w:hAnsi="Times New Roman" w:cs="Times New Roman"/>
          <w:kern w:val="2"/>
          <w:sz w:val="21"/>
          <w:szCs w:val="21"/>
          <w:highlight w:val="none"/>
          <w:lang w:val="en-US" w:eastAsia="zh-CN" w:bidi="ar-SA"/>
        </w:rPr>
        <w:t>，</w:t>
      </w:r>
      <w:r>
        <w:rPr>
          <w:rFonts w:hint="eastAsia" w:ascii="Times New Roman" w:hAnsi="Times New Roman" w:eastAsia="宋体" w:cs="Times New Roman"/>
          <w:kern w:val="2"/>
          <w:sz w:val="21"/>
          <w:szCs w:val="21"/>
          <w:highlight w:val="none"/>
          <w:lang w:val="en-US" w:eastAsia="zh-CN" w:bidi="ar-SA"/>
        </w:rPr>
        <w:t>六路电流源；内嵌工控机</w:t>
      </w:r>
      <w:r>
        <w:rPr>
          <w:rFonts w:hint="eastAsia" w:ascii="Times New Roman" w:hAnsi="Times New Roman" w:cs="Times New Roman"/>
          <w:kern w:val="2"/>
          <w:sz w:val="21"/>
          <w:szCs w:val="21"/>
          <w:highlight w:val="none"/>
          <w:lang w:val="en-US" w:eastAsia="zh-CN" w:bidi="ar-SA"/>
        </w:rPr>
        <w:t>。</w:t>
      </w:r>
    </w:p>
    <w:p>
      <w:pPr>
        <w:pStyle w:val="2"/>
        <w:ind w:firstLine="420" w:firstLineChars="200"/>
        <w:rPr>
          <w:rFonts w:hint="eastAsia"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3.2  支持</w:t>
      </w:r>
      <w:r>
        <w:rPr>
          <w:rFonts w:hint="eastAsia" w:ascii="Times New Roman" w:hAnsi="Times New Roman" w:eastAsia="宋体" w:cs="Times New Roman"/>
          <w:kern w:val="2"/>
          <w:sz w:val="21"/>
          <w:szCs w:val="21"/>
          <w:highlight w:val="none"/>
          <w:lang w:val="en-US" w:eastAsia="zh-CN" w:bidi="ar-SA"/>
        </w:rPr>
        <w:t>脱机操作</w:t>
      </w:r>
      <w:r>
        <w:rPr>
          <w:rFonts w:hint="eastAsia" w:cs="Times New Roman"/>
          <w:kern w:val="2"/>
          <w:sz w:val="21"/>
          <w:szCs w:val="21"/>
          <w:highlight w:val="none"/>
          <w:lang w:val="en-US" w:eastAsia="zh-CN" w:bidi="ar-SA"/>
        </w:rPr>
        <w:t>，</w:t>
      </w:r>
      <w:r>
        <w:rPr>
          <w:rFonts w:hint="eastAsia" w:ascii="Times New Roman" w:hAnsi="Times New Roman" w:eastAsia="宋体" w:cs="Times New Roman"/>
          <w:kern w:val="2"/>
          <w:sz w:val="21"/>
          <w:szCs w:val="21"/>
          <w:highlight w:val="none"/>
          <w:lang w:val="en-US" w:eastAsia="zh-CN" w:bidi="ar-SA"/>
        </w:rPr>
        <w:t xml:space="preserve"> 内置Wi-Fi接入功能，可实现用计算机通过无线网络控制</w:t>
      </w:r>
      <w:r>
        <w:rPr>
          <w:rFonts w:hint="eastAsia" w:cs="Times New Roman"/>
          <w:kern w:val="2"/>
          <w:sz w:val="21"/>
          <w:szCs w:val="21"/>
          <w:highlight w:val="none"/>
          <w:lang w:val="en-US" w:eastAsia="zh-CN" w:bidi="ar-SA"/>
        </w:rPr>
        <w:t>进行测试。</w:t>
      </w:r>
      <w:r>
        <w:rPr>
          <w:rFonts w:hint="eastAsia" w:ascii="Times New Roman" w:hAnsi="Times New Roman" w:eastAsia="宋体" w:cs="Times New Roman"/>
          <w:kern w:val="2"/>
          <w:sz w:val="21"/>
          <w:szCs w:val="21"/>
          <w:highlight w:val="none"/>
          <w:lang w:val="en-US" w:eastAsia="zh-CN" w:bidi="ar-SA"/>
        </w:rPr>
        <w:t xml:space="preserve"> </w:t>
      </w:r>
    </w:p>
    <w:p>
      <w:pPr>
        <w:spacing w:line="360" w:lineRule="auto"/>
        <w:ind w:firstLine="420" w:firstLineChars="200"/>
        <w:jc w:val="left"/>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 xml:space="preserve">3.3 </w:t>
      </w:r>
      <w:r>
        <w:rPr>
          <w:rFonts w:hint="eastAsia" w:cs="Times New Roman"/>
          <w:kern w:val="2"/>
          <w:sz w:val="21"/>
          <w:szCs w:val="21"/>
          <w:highlight w:val="none"/>
          <w:lang w:val="en-US" w:eastAsia="zh-CN" w:bidi="ar-SA"/>
        </w:rPr>
        <w:t xml:space="preserve"> </w:t>
      </w:r>
      <w:r>
        <w:rPr>
          <w:rFonts w:hint="eastAsia" w:ascii="Times New Roman" w:hAnsi="Times New Roman" w:eastAsia="宋体" w:cs="Times New Roman"/>
          <w:kern w:val="2"/>
          <w:sz w:val="21"/>
          <w:szCs w:val="21"/>
          <w:highlight w:val="none"/>
          <w:lang w:val="en-US" w:eastAsia="zh-CN" w:bidi="ar-SA"/>
        </w:rPr>
        <w:t>八对开入量</w:t>
      </w:r>
      <w:r>
        <w:rPr>
          <w:rFonts w:hint="eastAsia" w:ascii="Times New Roman" w:hAnsi="Times New Roman" w:cs="Times New Roman"/>
          <w:kern w:val="2"/>
          <w:sz w:val="21"/>
          <w:szCs w:val="21"/>
          <w:highlight w:val="none"/>
          <w:lang w:val="en-US" w:eastAsia="zh-CN" w:bidi="ar-SA"/>
        </w:rPr>
        <w:t>，</w:t>
      </w:r>
      <w:r>
        <w:rPr>
          <w:rFonts w:hint="eastAsia" w:ascii="Times New Roman" w:hAnsi="Times New Roman" w:eastAsia="宋体" w:cs="Times New Roman"/>
          <w:kern w:val="2"/>
          <w:sz w:val="21"/>
          <w:szCs w:val="21"/>
          <w:highlight w:val="none"/>
          <w:lang w:val="en-US" w:eastAsia="zh-CN" w:bidi="ar-SA"/>
        </w:rPr>
        <w:t>两对通用开出量</w:t>
      </w:r>
      <w:r>
        <w:rPr>
          <w:rFonts w:hint="eastAsia" w:ascii="Times New Roman" w:hAnsi="Times New Roman" w:cs="Times New Roman"/>
          <w:kern w:val="2"/>
          <w:sz w:val="21"/>
          <w:szCs w:val="21"/>
          <w:highlight w:val="none"/>
          <w:lang w:val="en-US" w:eastAsia="zh-CN" w:bidi="ar-SA"/>
        </w:rPr>
        <w:t>，</w:t>
      </w:r>
      <w:r>
        <w:rPr>
          <w:rFonts w:hint="eastAsia" w:ascii="Times New Roman" w:hAnsi="Times New Roman" w:eastAsia="宋体" w:cs="Times New Roman"/>
          <w:kern w:val="2"/>
          <w:sz w:val="21"/>
          <w:szCs w:val="21"/>
          <w:highlight w:val="none"/>
          <w:lang w:val="en-US" w:eastAsia="zh-CN" w:bidi="ar-SA"/>
        </w:rPr>
        <w:t>四对快速开出量</w:t>
      </w:r>
      <w:r>
        <w:rPr>
          <w:rFonts w:hint="eastAsia" w:ascii="Times New Roman" w:hAnsi="Times New Roman" w:cs="Times New Roman"/>
          <w:kern w:val="2"/>
          <w:sz w:val="21"/>
          <w:szCs w:val="21"/>
          <w:highlight w:val="none"/>
          <w:lang w:val="en-US" w:eastAsia="zh-CN" w:bidi="ar-SA"/>
        </w:rPr>
        <w:t>。</w:t>
      </w:r>
    </w:p>
    <w:p>
      <w:pPr>
        <w:spacing w:line="360" w:lineRule="auto"/>
        <w:jc w:val="left"/>
        <w:rPr>
          <w:rFonts w:hint="default" w:ascii="黑体" w:hAnsi="黑体" w:eastAsia="黑体" w:cs="Times New Roman"/>
          <w:szCs w:val="24"/>
          <w:highlight w:val="none"/>
          <w:lang w:val="en-US" w:eastAsia="zh-CN"/>
        </w:rPr>
      </w:pPr>
      <w:r>
        <w:rPr>
          <w:rFonts w:hint="eastAsia" w:ascii="黑体" w:hAnsi="黑体" w:eastAsia="黑体" w:cs="Times New Roman"/>
          <w:szCs w:val="24"/>
          <w:highlight w:val="none"/>
          <w:lang w:val="en-US" w:eastAsia="zh-CN"/>
        </w:rPr>
        <w:t>4采购数量及要求</w:t>
      </w:r>
    </w:p>
    <w:p>
      <w:pPr>
        <w:spacing w:line="360" w:lineRule="auto"/>
        <w:jc w:val="left"/>
        <w:rPr>
          <w:rFonts w:hint="eastAsia" w:ascii="Times New Roman" w:hAnsi="Times New Roman" w:cs="Times New Roman"/>
          <w:kern w:val="2"/>
          <w:sz w:val="21"/>
          <w:szCs w:val="21"/>
          <w:highlight w:val="none"/>
          <w:lang w:val="en-US" w:eastAsia="zh-CN" w:bidi="ar-SA"/>
        </w:rPr>
      </w:pPr>
      <w:r>
        <w:rPr>
          <w:rFonts w:hint="eastAsia" w:ascii="黑体" w:hAnsi="黑体" w:eastAsia="黑体" w:cs="Times New Roman"/>
          <w:szCs w:val="24"/>
          <w:highlight w:val="none"/>
          <w:lang w:val="en-US" w:eastAsia="zh-CN"/>
        </w:rPr>
        <w:t xml:space="preserve">4.1 </w:t>
      </w:r>
      <w:r>
        <w:rPr>
          <w:rFonts w:hint="eastAsia" w:ascii="Times New Roman" w:hAnsi="Times New Roman" w:eastAsia="宋体" w:cs="Times New Roman"/>
          <w:kern w:val="2"/>
          <w:sz w:val="21"/>
          <w:szCs w:val="21"/>
          <w:highlight w:val="none"/>
          <w:lang w:val="en-US" w:eastAsia="zh-CN" w:bidi="ar-SA"/>
        </w:rPr>
        <w:t>本项目采购</w:t>
      </w:r>
      <w:r>
        <w:rPr>
          <w:rFonts w:hint="eastAsia" w:ascii="Times New Roman" w:hAnsi="Times New Roman" w:cs="Times New Roman"/>
          <w:b/>
          <w:bCs/>
          <w:kern w:val="2"/>
          <w:sz w:val="21"/>
          <w:szCs w:val="21"/>
          <w:highlight w:val="none"/>
          <w:lang w:val="en-US" w:eastAsia="zh-CN" w:bidi="ar-SA"/>
        </w:rPr>
        <w:t>两</w:t>
      </w:r>
      <w:r>
        <w:rPr>
          <w:rFonts w:hint="eastAsia" w:ascii="Times New Roman" w:hAnsi="Times New Roman" w:cs="Times New Roman"/>
          <w:kern w:val="2"/>
          <w:sz w:val="21"/>
          <w:szCs w:val="21"/>
          <w:highlight w:val="none"/>
          <w:lang w:val="en-US" w:eastAsia="zh-CN" w:bidi="ar-SA"/>
        </w:rPr>
        <w:t>台同型号继电保护测试仪。</w:t>
      </w:r>
    </w:p>
    <w:p>
      <w:pPr>
        <w:spacing w:line="360" w:lineRule="auto"/>
        <w:jc w:val="left"/>
        <w:rPr>
          <w:rFonts w:hint="eastAsia" w:ascii="Times New Roman" w:hAnsi="Times New Roman" w:cs="Times New Roman"/>
          <w:kern w:val="2"/>
          <w:sz w:val="21"/>
          <w:szCs w:val="21"/>
          <w:highlight w:val="none"/>
          <w:lang w:val="en-US" w:eastAsia="zh-CN" w:bidi="ar-SA"/>
        </w:rPr>
      </w:pPr>
      <w:r>
        <w:rPr>
          <w:rFonts w:hint="eastAsia" w:ascii="黑体" w:hAnsi="黑体" w:eastAsia="黑体" w:cs="Times New Roman"/>
          <w:szCs w:val="24"/>
          <w:highlight w:val="none"/>
          <w:lang w:val="en-US" w:eastAsia="zh-CN"/>
        </w:rPr>
        <w:t xml:space="preserve">4.2 </w:t>
      </w:r>
      <w:r>
        <w:rPr>
          <w:rFonts w:hint="eastAsia" w:ascii="Times New Roman" w:hAnsi="Times New Roman" w:cs="Times New Roman"/>
          <w:kern w:val="2"/>
          <w:sz w:val="21"/>
          <w:szCs w:val="21"/>
          <w:highlight w:val="none"/>
          <w:lang w:val="en-US" w:eastAsia="zh-CN" w:bidi="ar-SA"/>
        </w:rPr>
        <w:t>继电保护测试仪，必须随机配备齐全相应的检测附属线及相关用具。</w:t>
      </w:r>
    </w:p>
    <w:p>
      <w:pPr>
        <w:spacing w:line="360" w:lineRule="auto"/>
        <w:jc w:val="left"/>
        <w:rPr>
          <w:rFonts w:hint="eastAsia" w:ascii="黑体" w:hAnsi="黑体" w:eastAsia="黑体" w:cs="Times New Roman"/>
          <w:szCs w:val="24"/>
          <w:highlight w:val="none"/>
          <w:lang w:val="en-US" w:eastAsia="zh-CN"/>
        </w:rPr>
      </w:pPr>
      <w:r>
        <w:rPr>
          <w:rFonts w:hint="eastAsia" w:ascii="黑体" w:hAnsi="黑体" w:eastAsia="黑体" w:cs="Times New Roman"/>
          <w:szCs w:val="24"/>
          <w:highlight w:val="none"/>
          <w:lang w:val="en-US" w:eastAsia="zh-CN"/>
        </w:rPr>
        <w:t xml:space="preserve">4.2 </w:t>
      </w:r>
      <w:r>
        <w:rPr>
          <w:rFonts w:hint="eastAsia" w:ascii="Times New Roman" w:hAnsi="Times New Roman" w:eastAsia="宋体" w:cs="Times New Roman"/>
          <w:kern w:val="2"/>
          <w:sz w:val="21"/>
          <w:szCs w:val="21"/>
          <w:highlight w:val="none"/>
          <w:lang w:val="en-US" w:eastAsia="zh-CN" w:bidi="ar-SA"/>
        </w:rPr>
        <w:t>本项目采购</w:t>
      </w:r>
      <w:r>
        <w:rPr>
          <w:rFonts w:hint="eastAsia" w:ascii="Times New Roman" w:hAnsi="Times New Roman" w:cs="Times New Roman"/>
          <w:kern w:val="2"/>
          <w:sz w:val="21"/>
          <w:szCs w:val="21"/>
          <w:highlight w:val="none"/>
          <w:lang w:val="en-US" w:eastAsia="zh-CN" w:bidi="ar-SA"/>
        </w:rPr>
        <w:t>的</w:t>
      </w:r>
      <w:r>
        <w:rPr>
          <w:rFonts w:hint="eastAsia" w:ascii="Times New Roman" w:hAnsi="Times New Roman" w:cs="Times New Roman"/>
          <w:b/>
          <w:bCs/>
          <w:kern w:val="2"/>
          <w:sz w:val="21"/>
          <w:szCs w:val="21"/>
          <w:highlight w:val="none"/>
          <w:lang w:val="en-US" w:eastAsia="zh-CN" w:bidi="ar-SA"/>
        </w:rPr>
        <w:t>两</w:t>
      </w:r>
      <w:r>
        <w:rPr>
          <w:rFonts w:hint="eastAsia" w:ascii="Times New Roman" w:hAnsi="Times New Roman" w:cs="Times New Roman"/>
          <w:kern w:val="2"/>
          <w:sz w:val="21"/>
          <w:szCs w:val="21"/>
          <w:highlight w:val="none"/>
          <w:lang w:val="en-US" w:eastAsia="zh-CN" w:bidi="ar-SA"/>
        </w:rPr>
        <w:t>台继电保护测试仪必须严格按照技术规范书规定的型号提供相应产品。</w:t>
      </w:r>
    </w:p>
    <w:p>
      <w:pPr>
        <w:numPr>
          <w:ilvl w:val="0"/>
          <w:numId w:val="0"/>
        </w:numPr>
        <w:spacing w:line="360" w:lineRule="auto"/>
        <w:ind w:leftChars="0"/>
        <w:rPr>
          <w:rFonts w:hint="eastAsia" w:ascii="黑体" w:hAnsi="黑体" w:eastAsia="黑体" w:cs="Times New Roman"/>
          <w:szCs w:val="24"/>
          <w:highlight w:val="none"/>
          <w:lang w:val="en-US" w:eastAsia="zh-CN"/>
        </w:rPr>
      </w:pPr>
      <w:r>
        <w:rPr>
          <w:rFonts w:hint="eastAsia" w:ascii="黑体" w:hAnsi="黑体" w:eastAsia="黑体" w:cs="Times New Roman"/>
          <w:szCs w:val="24"/>
          <w:highlight w:val="none"/>
          <w:lang w:val="en-US" w:eastAsia="zh-CN"/>
        </w:rPr>
        <w:t xml:space="preserve">5主要技术参数 </w:t>
      </w:r>
    </w:p>
    <w:tbl>
      <w:tblPr>
        <w:tblStyle w:val="9"/>
        <w:tblW w:w="8463" w:type="dxa"/>
        <w:tblInd w:w="48"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96"/>
        <w:gridCol w:w="5667"/>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2796" w:type="dxa"/>
            <w:vAlign w:val="center"/>
          </w:tcPr>
          <w:p>
            <w:pPr>
              <w:spacing w:line="360" w:lineRule="auto"/>
              <w:jc w:val="center"/>
              <w:rPr>
                <w:rFonts w:hint="default" w:ascii="宋体" w:hAnsi="宋体" w:eastAsia="宋体"/>
                <w:szCs w:val="21"/>
                <w:lang w:val="en-US" w:eastAsia="zh-CN"/>
              </w:rPr>
            </w:pPr>
            <w:r>
              <w:rPr>
                <w:rFonts w:hint="eastAsia" w:ascii="宋体" w:hAnsi="宋体"/>
                <w:b/>
                <w:bCs/>
                <w:szCs w:val="21"/>
                <w:lang w:val="en-US" w:eastAsia="zh-CN"/>
              </w:rPr>
              <w:t>设备型号</w:t>
            </w:r>
          </w:p>
        </w:tc>
        <w:tc>
          <w:tcPr>
            <w:tcW w:w="5667" w:type="dxa"/>
            <w:vAlign w:val="center"/>
          </w:tcPr>
          <w:p>
            <w:pPr>
              <w:spacing w:line="360" w:lineRule="auto"/>
              <w:jc w:val="center"/>
              <w:rPr>
                <w:rFonts w:hint="default"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ONLLY-AQ6060G计算机自动化继电保护测试仪</w:t>
            </w:r>
          </w:p>
        </w:tc>
      </w:tr>
    </w:tbl>
    <w:tbl>
      <w:tblPr>
        <w:tblStyle w:val="9"/>
        <w:tblpPr w:leftFromText="180" w:rightFromText="180" w:vertAnchor="text" w:horzAnchor="page" w:tblpX="1836" w:tblpY="22"/>
        <w:tblOverlap w:val="never"/>
        <w:tblW w:w="84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8"/>
        <w:gridCol w:w="734"/>
        <w:gridCol w:w="1560"/>
        <w:gridCol w:w="5667"/>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508" w:type="dxa"/>
            <w:vMerge w:val="restart"/>
            <w:vAlign w:val="center"/>
          </w:tcPr>
          <w:p>
            <w:pPr>
              <w:spacing w:line="360" w:lineRule="auto"/>
              <w:jc w:val="center"/>
              <w:rPr>
                <w:rFonts w:ascii="宋体" w:hAnsi="宋体"/>
                <w:b/>
                <w:szCs w:val="21"/>
              </w:rPr>
            </w:pPr>
            <w:r>
              <w:rPr>
                <w:rFonts w:hint="eastAsia" w:ascii="宋体" w:hAnsi="宋体"/>
                <w:b/>
                <w:szCs w:val="21"/>
              </w:rPr>
              <w:t>供电电源</w:t>
            </w:r>
          </w:p>
        </w:tc>
        <w:tc>
          <w:tcPr>
            <w:tcW w:w="2294" w:type="dxa"/>
            <w:gridSpan w:val="2"/>
            <w:vAlign w:val="center"/>
          </w:tcPr>
          <w:p>
            <w:pPr>
              <w:spacing w:line="360" w:lineRule="auto"/>
              <w:jc w:val="center"/>
              <w:rPr>
                <w:rFonts w:hint="eastAsia"/>
                <w:b w:val="0"/>
                <w:bCs w:val="0"/>
                <w:szCs w:val="21"/>
              </w:rPr>
            </w:pPr>
            <w:r>
              <w:rPr>
                <w:rFonts w:hint="eastAsia"/>
                <w:b w:val="0"/>
                <w:bCs w:val="0"/>
                <w:szCs w:val="21"/>
              </w:rPr>
              <w:t>功耗</w:t>
            </w:r>
          </w:p>
        </w:tc>
        <w:tc>
          <w:tcPr>
            <w:tcW w:w="5667" w:type="dxa"/>
            <w:vAlign w:val="center"/>
          </w:tcPr>
          <w:p>
            <w:pPr>
              <w:spacing w:line="360" w:lineRule="auto"/>
              <w:jc w:val="center"/>
              <w:rPr>
                <w:rFonts w:hint="eastAsia"/>
                <w:b w:val="0"/>
                <w:bCs w:val="0"/>
                <w:szCs w:val="21"/>
              </w:rPr>
            </w:pPr>
            <w:r>
              <w:rPr>
                <w:rFonts w:hint="eastAsia"/>
                <w:b w:val="0"/>
                <w:bCs w:val="0"/>
                <w:szCs w:val="21"/>
              </w:rPr>
              <w:t>＜2000VA</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08" w:type="dxa"/>
            <w:vMerge w:val="continue"/>
            <w:vAlign w:val="center"/>
          </w:tcPr>
          <w:p>
            <w:pPr>
              <w:spacing w:line="360" w:lineRule="auto"/>
              <w:rPr>
                <w:rFonts w:ascii="宋体" w:hAnsi="宋体"/>
                <w:sz w:val="18"/>
                <w:szCs w:val="18"/>
              </w:rPr>
            </w:pPr>
          </w:p>
        </w:tc>
        <w:tc>
          <w:tcPr>
            <w:tcW w:w="2294" w:type="dxa"/>
            <w:gridSpan w:val="2"/>
            <w:vAlign w:val="center"/>
          </w:tcPr>
          <w:p>
            <w:pPr>
              <w:spacing w:line="360" w:lineRule="auto"/>
              <w:jc w:val="center"/>
              <w:rPr>
                <w:rFonts w:hint="eastAsia"/>
                <w:b w:val="0"/>
                <w:bCs w:val="0"/>
                <w:szCs w:val="21"/>
              </w:rPr>
            </w:pPr>
            <w:r>
              <w:rPr>
                <w:rFonts w:hint="eastAsia"/>
                <w:b w:val="0"/>
                <w:bCs w:val="0"/>
                <w:szCs w:val="21"/>
              </w:rPr>
              <w:t>交流供电</w:t>
            </w:r>
          </w:p>
        </w:tc>
        <w:tc>
          <w:tcPr>
            <w:tcW w:w="5667" w:type="dxa"/>
            <w:vAlign w:val="center"/>
          </w:tcPr>
          <w:p>
            <w:pPr>
              <w:spacing w:line="360" w:lineRule="auto"/>
              <w:jc w:val="center"/>
              <w:rPr>
                <w:rFonts w:hint="eastAsia"/>
                <w:b w:val="0"/>
                <w:bCs w:val="0"/>
                <w:szCs w:val="21"/>
              </w:rPr>
            </w:pPr>
            <w:r>
              <w:rPr>
                <w:rFonts w:hint="eastAsia"/>
                <w:b w:val="0"/>
                <w:bCs w:val="0"/>
                <w:szCs w:val="21"/>
              </w:rPr>
              <w:t>220V±20%（47～63Hz）</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08" w:type="dxa"/>
            <w:vMerge w:val="continue"/>
            <w:vAlign w:val="center"/>
          </w:tcPr>
          <w:p>
            <w:pPr>
              <w:spacing w:line="360" w:lineRule="auto"/>
              <w:rPr>
                <w:rFonts w:ascii="宋体" w:hAnsi="宋体"/>
                <w:sz w:val="18"/>
                <w:szCs w:val="18"/>
              </w:rPr>
            </w:pPr>
          </w:p>
        </w:tc>
        <w:tc>
          <w:tcPr>
            <w:tcW w:w="2294" w:type="dxa"/>
            <w:gridSpan w:val="2"/>
            <w:vAlign w:val="center"/>
          </w:tcPr>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直流供电</w:t>
            </w:r>
          </w:p>
        </w:tc>
        <w:tc>
          <w:tcPr>
            <w:tcW w:w="5667" w:type="dxa"/>
            <w:vAlign w:val="center"/>
          </w:tcPr>
          <w:p>
            <w:pPr>
              <w:spacing w:line="24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200～380 VDC</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508" w:type="dxa"/>
            <w:vMerge w:val="restart"/>
            <w:vAlign w:val="center"/>
          </w:tcPr>
          <w:p>
            <w:pPr>
              <w:spacing w:line="360" w:lineRule="auto"/>
              <w:jc w:val="center"/>
              <w:rPr>
                <w:rFonts w:ascii="宋体" w:hAnsi="宋体"/>
                <w:b/>
                <w:szCs w:val="21"/>
              </w:rPr>
            </w:pPr>
            <w:r>
              <w:rPr>
                <w:rFonts w:hint="eastAsia" w:ascii="宋体" w:hAnsi="宋体"/>
                <w:b/>
                <w:szCs w:val="21"/>
              </w:rPr>
              <w:t>电压源</w:t>
            </w:r>
          </w:p>
        </w:tc>
        <w:tc>
          <w:tcPr>
            <w:tcW w:w="2294" w:type="dxa"/>
            <w:gridSpan w:val="2"/>
            <w:vAlign w:val="center"/>
          </w:tcPr>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交流电压范围</w:t>
            </w:r>
          </w:p>
        </w:tc>
        <w:tc>
          <w:tcPr>
            <w:tcW w:w="5667" w:type="dxa"/>
            <w:vAlign w:val="center"/>
          </w:tcPr>
          <w:p>
            <w:pPr>
              <w:spacing w:line="24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6×（0～125 ）V</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508" w:type="dxa"/>
            <w:vMerge w:val="continue"/>
            <w:vAlign w:val="center"/>
          </w:tcPr>
          <w:p>
            <w:pPr>
              <w:spacing w:line="360" w:lineRule="auto"/>
              <w:rPr>
                <w:rFonts w:ascii="宋体" w:hAnsi="宋体"/>
                <w:sz w:val="18"/>
                <w:szCs w:val="18"/>
              </w:rPr>
            </w:pPr>
          </w:p>
        </w:tc>
        <w:tc>
          <w:tcPr>
            <w:tcW w:w="2294" w:type="dxa"/>
            <w:gridSpan w:val="2"/>
            <w:vAlign w:val="center"/>
          </w:tcPr>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交流电压准确度</w:t>
            </w:r>
          </w:p>
        </w:tc>
        <w:tc>
          <w:tcPr>
            <w:tcW w:w="5667" w:type="dxa"/>
            <w:vAlign w:val="center"/>
          </w:tcPr>
          <w:p>
            <w:pPr>
              <w:spacing w:line="24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输出小于2V时，绝对误差小于4mV</w:t>
            </w:r>
          </w:p>
          <w:p>
            <w:pPr>
              <w:spacing w:line="24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2V至量程，相对误差小于0.2%</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508" w:type="dxa"/>
            <w:vMerge w:val="continue"/>
            <w:vAlign w:val="center"/>
          </w:tcPr>
          <w:p>
            <w:pPr>
              <w:spacing w:line="360" w:lineRule="auto"/>
              <w:rPr>
                <w:rFonts w:ascii="宋体" w:hAnsi="宋体"/>
                <w:sz w:val="18"/>
                <w:szCs w:val="18"/>
              </w:rPr>
            </w:pPr>
          </w:p>
        </w:tc>
        <w:tc>
          <w:tcPr>
            <w:tcW w:w="2294" w:type="dxa"/>
            <w:gridSpan w:val="2"/>
            <w:vAlign w:val="center"/>
          </w:tcPr>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总谐波畸变率THD%</w:t>
            </w:r>
          </w:p>
        </w:tc>
        <w:tc>
          <w:tcPr>
            <w:tcW w:w="5667" w:type="dxa"/>
            <w:vAlign w:val="center"/>
          </w:tcPr>
          <w:p>
            <w:pPr>
              <w:spacing w:line="24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2V至量程，总谐波畸变率≤0.2%</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508" w:type="dxa"/>
            <w:vMerge w:val="continue"/>
            <w:vAlign w:val="center"/>
          </w:tcPr>
          <w:p>
            <w:pPr>
              <w:spacing w:line="360" w:lineRule="auto"/>
              <w:rPr>
                <w:rFonts w:ascii="宋体" w:hAnsi="宋体"/>
                <w:sz w:val="18"/>
                <w:szCs w:val="18"/>
              </w:rPr>
            </w:pPr>
          </w:p>
        </w:tc>
        <w:tc>
          <w:tcPr>
            <w:tcW w:w="2294" w:type="dxa"/>
            <w:gridSpan w:val="2"/>
            <w:vAlign w:val="center"/>
          </w:tcPr>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交流电压功率</w:t>
            </w:r>
          </w:p>
        </w:tc>
        <w:tc>
          <w:tcPr>
            <w:tcW w:w="5667" w:type="dxa"/>
            <w:vAlign w:val="center"/>
          </w:tcPr>
          <w:p>
            <w:pPr>
              <w:spacing w:line="24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输出额定电压时，功率不小于30VA；</w:t>
            </w:r>
          </w:p>
          <w:p>
            <w:pPr>
              <w:spacing w:line="24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输出最大电压时，功率不小于60VA；</w:t>
            </w:r>
          </w:p>
          <w:p>
            <w:pPr>
              <w:spacing w:line="24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所有电压相可同时带载输出</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508" w:type="dxa"/>
            <w:vMerge w:val="continue"/>
            <w:vAlign w:val="center"/>
          </w:tcPr>
          <w:p>
            <w:pPr>
              <w:spacing w:line="360" w:lineRule="auto"/>
              <w:rPr>
                <w:rFonts w:ascii="宋体" w:hAnsi="宋体"/>
                <w:sz w:val="18"/>
                <w:szCs w:val="18"/>
              </w:rPr>
            </w:pPr>
          </w:p>
        </w:tc>
        <w:tc>
          <w:tcPr>
            <w:tcW w:w="2294" w:type="dxa"/>
            <w:gridSpan w:val="2"/>
            <w:vAlign w:val="center"/>
          </w:tcPr>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输出时间</w:t>
            </w:r>
          </w:p>
        </w:tc>
        <w:tc>
          <w:tcPr>
            <w:tcW w:w="5667" w:type="dxa"/>
            <w:vAlign w:val="center"/>
          </w:tcPr>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连续输出</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508" w:type="dxa"/>
            <w:vMerge w:val="continue"/>
            <w:vAlign w:val="center"/>
          </w:tcPr>
          <w:p>
            <w:pPr>
              <w:spacing w:line="360" w:lineRule="auto"/>
              <w:rPr>
                <w:rFonts w:ascii="宋体" w:hAnsi="宋体"/>
                <w:sz w:val="18"/>
                <w:szCs w:val="18"/>
              </w:rPr>
            </w:pPr>
          </w:p>
        </w:tc>
        <w:tc>
          <w:tcPr>
            <w:tcW w:w="2294" w:type="dxa"/>
            <w:gridSpan w:val="2"/>
            <w:vAlign w:val="center"/>
          </w:tcPr>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直流电压范围</w:t>
            </w:r>
          </w:p>
        </w:tc>
        <w:tc>
          <w:tcPr>
            <w:tcW w:w="5667" w:type="dxa"/>
            <w:vAlign w:val="center"/>
          </w:tcPr>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0～350V（L-L）；-175～+175V（L-N）</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508" w:type="dxa"/>
            <w:vMerge w:val="continue"/>
            <w:vAlign w:val="center"/>
          </w:tcPr>
          <w:p>
            <w:pPr>
              <w:spacing w:line="360" w:lineRule="auto"/>
              <w:rPr>
                <w:rFonts w:ascii="宋体" w:hAnsi="宋体"/>
                <w:sz w:val="18"/>
                <w:szCs w:val="18"/>
              </w:rPr>
            </w:pPr>
          </w:p>
        </w:tc>
        <w:tc>
          <w:tcPr>
            <w:tcW w:w="2294" w:type="dxa"/>
            <w:gridSpan w:val="2"/>
            <w:vAlign w:val="center"/>
          </w:tcPr>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直流电压功率</w:t>
            </w:r>
          </w:p>
        </w:tc>
        <w:tc>
          <w:tcPr>
            <w:tcW w:w="5667" w:type="dxa"/>
            <w:vAlign w:val="center"/>
          </w:tcPr>
          <w:p>
            <w:pPr>
              <w:spacing w:line="24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在±350VDC，输出功率＞100W；</w:t>
            </w:r>
          </w:p>
          <w:p>
            <w:pPr>
              <w:spacing w:line="24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在±175VDC，输出功率＞85W</w:t>
            </w:r>
          </w:p>
          <w:p>
            <w:pPr>
              <w:spacing w:line="24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所有电压相可同时带载输出</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508" w:type="dxa"/>
            <w:vMerge w:val="restart"/>
            <w:vAlign w:val="center"/>
          </w:tcPr>
          <w:p>
            <w:pPr>
              <w:spacing w:line="360" w:lineRule="auto"/>
              <w:jc w:val="center"/>
              <w:rPr>
                <w:rFonts w:ascii="宋体" w:hAnsi="宋体"/>
                <w:szCs w:val="21"/>
              </w:rPr>
            </w:pPr>
            <w:r>
              <w:rPr>
                <w:rFonts w:hint="eastAsia" w:ascii="宋体" w:hAnsi="宋体"/>
                <w:b/>
                <w:szCs w:val="21"/>
              </w:rPr>
              <w:t>电流源</w:t>
            </w:r>
          </w:p>
        </w:tc>
        <w:tc>
          <w:tcPr>
            <w:tcW w:w="2294" w:type="dxa"/>
            <w:gridSpan w:val="2"/>
            <w:vAlign w:val="center"/>
          </w:tcPr>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交流电流范围</w:t>
            </w:r>
          </w:p>
        </w:tc>
        <w:tc>
          <w:tcPr>
            <w:tcW w:w="5667" w:type="dxa"/>
            <w:vAlign w:val="center"/>
          </w:tcPr>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6×（0～35）A，可多相并联输出</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508" w:type="dxa"/>
            <w:vMerge w:val="continue"/>
            <w:vAlign w:val="center"/>
          </w:tcPr>
          <w:p>
            <w:pPr>
              <w:spacing w:line="360" w:lineRule="auto"/>
              <w:rPr>
                <w:rFonts w:ascii="宋体" w:hAnsi="宋体"/>
                <w:sz w:val="18"/>
                <w:szCs w:val="18"/>
              </w:rPr>
            </w:pPr>
          </w:p>
        </w:tc>
        <w:tc>
          <w:tcPr>
            <w:tcW w:w="2294" w:type="dxa"/>
            <w:gridSpan w:val="2"/>
            <w:vAlign w:val="center"/>
          </w:tcPr>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交流电流准确度</w:t>
            </w:r>
          </w:p>
        </w:tc>
        <w:tc>
          <w:tcPr>
            <w:tcW w:w="5667" w:type="dxa"/>
            <w:vAlign w:val="center"/>
          </w:tcPr>
          <w:p>
            <w:pPr>
              <w:spacing w:line="24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0.5A以下，绝对误差小于1mA；</w:t>
            </w:r>
          </w:p>
          <w:p>
            <w:pPr>
              <w:spacing w:line="24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0.5A至量程，相对误差小于0.2%</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508" w:type="dxa"/>
            <w:vMerge w:val="continue"/>
            <w:vAlign w:val="center"/>
          </w:tcPr>
          <w:p>
            <w:pPr>
              <w:spacing w:line="360" w:lineRule="auto"/>
              <w:rPr>
                <w:rFonts w:ascii="宋体" w:hAnsi="宋体"/>
                <w:sz w:val="18"/>
                <w:szCs w:val="18"/>
              </w:rPr>
            </w:pPr>
          </w:p>
        </w:tc>
        <w:tc>
          <w:tcPr>
            <w:tcW w:w="2294" w:type="dxa"/>
            <w:gridSpan w:val="2"/>
            <w:vAlign w:val="center"/>
          </w:tcPr>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总谐波畸变率THD%</w:t>
            </w:r>
          </w:p>
        </w:tc>
        <w:tc>
          <w:tcPr>
            <w:tcW w:w="5667" w:type="dxa"/>
            <w:vAlign w:val="center"/>
          </w:tcPr>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0.5A至量程，总谐波畸变率≤0.2%</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508" w:type="dxa"/>
            <w:vMerge w:val="continue"/>
            <w:vAlign w:val="center"/>
          </w:tcPr>
          <w:p>
            <w:pPr>
              <w:spacing w:line="360" w:lineRule="auto"/>
              <w:rPr>
                <w:rFonts w:ascii="宋体" w:hAnsi="宋体"/>
                <w:sz w:val="18"/>
                <w:szCs w:val="18"/>
              </w:rPr>
            </w:pPr>
          </w:p>
        </w:tc>
        <w:tc>
          <w:tcPr>
            <w:tcW w:w="2294" w:type="dxa"/>
            <w:gridSpan w:val="2"/>
            <w:vAlign w:val="center"/>
          </w:tcPr>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交流电流功率</w:t>
            </w:r>
          </w:p>
        </w:tc>
        <w:tc>
          <w:tcPr>
            <w:tcW w:w="5667" w:type="dxa"/>
            <w:vAlign w:val="center"/>
          </w:tcPr>
          <w:p>
            <w:pPr>
              <w:spacing w:line="24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0.5A：最大负载大于18.0Ω；</w:t>
            </w:r>
          </w:p>
          <w:p>
            <w:pPr>
              <w:spacing w:line="24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30A：最大负载大于0.30Ω（满足所有继电保护二次CT负载）所有电流相可同时带载输出</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508" w:type="dxa"/>
            <w:vMerge w:val="continue"/>
            <w:vAlign w:val="center"/>
          </w:tcPr>
          <w:p>
            <w:pPr>
              <w:spacing w:line="360" w:lineRule="auto"/>
              <w:rPr>
                <w:rFonts w:ascii="宋体" w:hAnsi="宋体"/>
                <w:sz w:val="18"/>
                <w:szCs w:val="18"/>
              </w:rPr>
            </w:pPr>
          </w:p>
        </w:tc>
        <w:tc>
          <w:tcPr>
            <w:tcW w:w="2294" w:type="dxa"/>
            <w:gridSpan w:val="2"/>
            <w:vAlign w:val="center"/>
          </w:tcPr>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交流输出时间</w:t>
            </w:r>
          </w:p>
        </w:tc>
        <w:tc>
          <w:tcPr>
            <w:tcW w:w="5667" w:type="dxa"/>
            <w:vAlign w:val="center"/>
          </w:tcPr>
          <w:p>
            <w:pPr>
              <w:spacing w:line="24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≤10A，连续输出；</w:t>
            </w:r>
          </w:p>
          <w:p>
            <w:pPr>
              <w:spacing w:line="24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10-20A，输出时间不少于60s；</w:t>
            </w:r>
          </w:p>
          <w:p>
            <w:pPr>
              <w:spacing w:line="24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＞20A，输出时间不少于10s</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508" w:type="dxa"/>
            <w:vMerge w:val="continue"/>
            <w:vAlign w:val="center"/>
          </w:tcPr>
          <w:p>
            <w:pPr>
              <w:spacing w:line="360" w:lineRule="auto"/>
              <w:rPr>
                <w:rFonts w:ascii="宋体" w:hAnsi="宋体"/>
                <w:sz w:val="18"/>
                <w:szCs w:val="18"/>
              </w:rPr>
            </w:pPr>
          </w:p>
        </w:tc>
        <w:tc>
          <w:tcPr>
            <w:tcW w:w="2294" w:type="dxa"/>
            <w:gridSpan w:val="2"/>
            <w:vAlign w:val="center"/>
          </w:tcPr>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直流电流范围</w:t>
            </w:r>
          </w:p>
        </w:tc>
        <w:tc>
          <w:tcPr>
            <w:tcW w:w="5667" w:type="dxa"/>
            <w:vAlign w:val="center"/>
          </w:tcPr>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6×（0～20）A</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508" w:type="dxa"/>
            <w:vMerge w:val="continue"/>
            <w:vAlign w:val="center"/>
          </w:tcPr>
          <w:p>
            <w:pPr>
              <w:spacing w:line="360" w:lineRule="auto"/>
              <w:rPr>
                <w:rFonts w:ascii="宋体" w:hAnsi="宋体"/>
                <w:sz w:val="18"/>
                <w:szCs w:val="18"/>
              </w:rPr>
            </w:pPr>
          </w:p>
        </w:tc>
        <w:tc>
          <w:tcPr>
            <w:tcW w:w="2294" w:type="dxa"/>
            <w:gridSpan w:val="2"/>
            <w:vAlign w:val="center"/>
          </w:tcPr>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直流电流准确度</w:t>
            </w:r>
          </w:p>
        </w:tc>
        <w:tc>
          <w:tcPr>
            <w:tcW w:w="5667" w:type="dxa"/>
            <w:vAlign w:val="center"/>
          </w:tcPr>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0.5A以下，绝对误差小于1mA；</w:t>
            </w:r>
          </w:p>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0.5A至量程，相对误差小于0.2%</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508" w:type="dxa"/>
            <w:vMerge w:val="continue"/>
            <w:vAlign w:val="center"/>
          </w:tcPr>
          <w:p>
            <w:pPr>
              <w:spacing w:line="360" w:lineRule="auto"/>
              <w:rPr>
                <w:rFonts w:ascii="宋体" w:hAnsi="宋体"/>
                <w:sz w:val="18"/>
                <w:szCs w:val="18"/>
              </w:rPr>
            </w:pPr>
          </w:p>
        </w:tc>
        <w:tc>
          <w:tcPr>
            <w:tcW w:w="2294" w:type="dxa"/>
            <w:gridSpan w:val="2"/>
            <w:vAlign w:val="center"/>
          </w:tcPr>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直流电流功率</w:t>
            </w:r>
          </w:p>
        </w:tc>
        <w:tc>
          <w:tcPr>
            <w:tcW w:w="5667" w:type="dxa"/>
            <w:vAlign w:val="center"/>
          </w:tcPr>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单相功率＞200W 所有电流相可同时带载输出</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2802" w:type="dxa"/>
            <w:gridSpan w:val="3"/>
            <w:vAlign w:val="center"/>
          </w:tcPr>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 xml:space="preserve">    输出频率</w:t>
            </w:r>
          </w:p>
        </w:tc>
        <w:tc>
          <w:tcPr>
            <w:tcW w:w="5667" w:type="dxa"/>
            <w:vAlign w:val="center"/>
          </w:tcPr>
          <w:p>
            <w:pPr>
              <w:spacing w:line="24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范围：10-1000Hz ；分辨率：0.001 Hz</w:t>
            </w:r>
          </w:p>
          <w:p>
            <w:pPr>
              <w:spacing w:line="24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误差：10 Hz＜f≤65 Hz，不超过±0.001 Hz ；</w:t>
            </w:r>
          </w:p>
          <w:p>
            <w:pPr>
              <w:spacing w:line="24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65 Hz＜f≤450 Hz，不超过±0.01 Hz；</w:t>
            </w:r>
          </w:p>
          <w:p>
            <w:pPr>
              <w:spacing w:line="24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450 Hz＜f≤1000 Hz，不超过±0.02Hz；</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2802" w:type="dxa"/>
            <w:gridSpan w:val="3"/>
            <w:vAlign w:val="center"/>
          </w:tcPr>
          <w:p>
            <w:pPr>
              <w:spacing w:line="360" w:lineRule="auto"/>
              <w:jc w:val="center"/>
              <w:rPr>
                <w:rFonts w:ascii="宋体" w:hAnsi="宋体"/>
                <w:szCs w:val="21"/>
              </w:rPr>
            </w:pPr>
            <w:r>
              <w:rPr>
                <w:rFonts w:hint="eastAsia" w:ascii="Times New Roman" w:hAnsi="Times New Roman" w:cs="Times New Roman"/>
                <w:kern w:val="2"/>
                <w:sz w:val="21"/>
                <w:szCs w:val="21"/>
                <w:highlight w:val="none"/>
                <w:lang w:val="en-US" w:eastAsia="zh-CN" w:bidi="ar-SA"/>
              </w:rPr>
              <w:t>相位</w:t>
            </w:r>
          </w:p>
        </w:tc>
        <w:tc>
          <w:tcPr>
            <w:tcW w:w="5667" w:type="dxa"/>
            <w:vAlign w:val="center"/>
          </w:tcPr>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范围：±360º；误差：＜0.2º；分辨率：0.1º</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2802" w:type="dxa"/>
            <w:gridSpan w:val="3"/>
            <w:vAlign w:val="center"/>
          </w:tcPr>
          <w:p>
            <w:pPr>
              <w:spacing w:line="360" w:lineRule="auto"/>
              <w:jc w:val="center"/>
              <w:rPr>
                <w:rFonts w:ascii="宋体" w:hAnsi="宋体"/>
                <w:szCs w:val="21"/>
              </w:rPr>
            </w:pPr>
            <w:r>
              <w:rPr>
                <w:rFonts w:hint="eastAsia" w:ascii="Times New Roman" w:hAnsi="Times New Roman" w:cs="Times New Roman"/>
                <w:kern w:val="2"/>
                <w:sz w:val="21"/>
                <w:szCs w:val="21"/>
                <w:highlight w:val="none"/>
                <w:lang w:val="en-US" w:eastAsia="zh-CN" w:bidi="ar-SA"/>
              </w:rPr>
              <w:t>独立辅助直流</w:t>
            </w:r>
          </w:p>
        </w:tc>
        <w:tc>
          <w:tcPr>
            <w:tcW w:w="5667" w:type="dxa"/>
            <w:vAlign w:val="center"/>
          </w:tcPr>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110/220VDC可切换，功率不小于100W, 精度：0.5%</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2802" w:type="dxa"/>
            <w:gridSpan w:val="3"/>
            <w:vAlign w:val="center"/>
          </w:tcPr>
          <w:p>
            <w:pPr>
              <w:spacing w:line="360" w:lineRule="auto"/>
              <w:jc w:val="center"/>
              <w:rPr>
                <w:rFonts w:ascii="宋体" w:hAnsi="宋体"/>
                <w:szCs w:val="21"/>
              </w:rPr>
            </w:pPr>
            <w:r>
              <w:rPr>
                <w:rFonts w:hint="eastAsia" w:ascii="Times New Roman" w:hAnsi="Times New Roman" w:cs="Times New Roman"/>
                <w:kern w:val="2"/>
                <w:sz w:val="21"/>
                <w:szCs w:val="21"/>
                <w:highlight w:val="none"/>
                <w:lang w:val="en-US" w:eastAsia="zh-CN" w:bidi="ar-SA"/>
              </w:rPr>
              <w:t>时间测量</w:t>
            </w:r>
          </w:p>
        </w:tc>
        <w:tc>
          <w:tcPr>
            <w:tcW w:w="5667" w:type="dxa"/>
            <w:vAlign w:val="center"/>
          </w:tcPr>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最大测量时间：1.000×108s；</w:t>
            </w:r>
          </w:p>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计时误差:±1ms(0.001s～1s)；±0.1%（1s～1.000×108s)</w:t>
            </w:r>
          </w:p>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防抖时间设置范围（软件设置）:0ms～20s</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2802" w:type="dxa"/>
            <w:gridSpan w:val="3"/>
            <w:vAlign w:val="center"/>
          </w:tcPr>
          <w:p>
            <w:pPr>
              <w:spacing w:line="360" w:lineRule="auto"/>
              <w:jc w:val="center"/>
              <w:rPr>
                <w:rFonts w:ascii="宋体" w:hAnsi="宋体"/>
                <w:szCs w:val="21"/>
              </w:rPr>
            </w:pPr>
            <w:r>
              <w:rPr>
                <w:rFonts w:hint="eastAsia" w:ascii="Times New Roman" w:hAnsi="Times New Roman" w:cs="Times New Roman"/>
                <w:kern w:val="2"/>
                <w:sz w:val="21"/>
                <w:szCs w:val="21"/>
                <w:highlight w:val="none"/>
                <w:lang w:val="en-US" w:eastAsia="zh-CN" w:bidi="ar-SA"/>
              </w:rPr>
              <w:t>开入量</w:t>
            </w:r>
          </w:p>
        </w:tc>
        <w:tc>
          <w:tcPr>
            <w:tcW w:w="5667" w:type="dxa"/>
            <w:vAlign w:val="center"/>
          </w:tcPr>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数量8对；开入特性（0～250VDC）或空接点（自动识别）</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2802" w:type="dxa"/>
            <w:gridSpan w:val="3"/>
            <w:vAlign w:val="center"/>
          </w:tcPr>
          <w:p>
            <w:pPr>
              <w:spacing w:line="360" w:lineRule="auto"/>
              <w:jc w:val="center"/>
              <w:rPr>
                <w:rFonts w:ascii="宋体" w:hAnsi="宋体"/>
                <w:szCs w:val="21"/>
              </w:rPr>
            </w:pPr>
            <w:r>
              <w:rPr>
                <w:rFonts w:hint="eastAsia" w:ascii="Times New Roman" w:hAnsi="Times New Roman" w:cs="Times New Roman"/>
                <w:kern w:val="2"/>
                <w:sz w:val="21"/>
                <w:szCs w:val="21"/>
                <w:highlight w:val="none"/>
                <w:lang w:val="en-US" w:eastAsia="zh-CN" w:bidi="ar-SA"/>
              </w:rPr>
              <w:t>开出量（软件控制）</w:t>
            </w:r>
          </w:p>
        </w:tc>
        <w:tc>
          <w:tcPr>
            <w:tcW w:w="5667" w:type="dxa"/>
            <w:vAlign w:val="center"/>
          </w:tcPr>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数量：6对</w:t>
            </w:r>
          </w:p>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类型：2对空接点不分极性（电气隔离）</w:t>
            </w:r>
          </w:p>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4对快速开出接点(响应时间＜100μs)</w:t>
            </w:r>
          </w:p>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直流容量：Vmax: 250VDC/Imax：0.3A</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41" w:hRule="atLeast"/>
        </w:trPr>
        <w:tc>
          <w:tcPr>
            <w:tcW w:w="1242" w:type="dxa"/>
            <w:gridSpan w:val="2"/>
            <w:vMerge w:val="restart"/>
            <w:vAlign w:val="center"/>
          </w:tcPr>
          <w:p>
            <w:pPr>
              <w:spacing w:line="360" w:lineRule="auto"/>
              <w:jc w:val="center"/>
              <w:rPr>
                <w:rFonts w:ascii="宋体" w:hAnsi="宋体"/>
                <w:szCs w:val="21"/>
              </w:rPr>
            </w:pPr>
            <w:r>
              <w:rPr>
                <w:rFonts w:hint="eastAsia" w:ascii="宋体" w:hAnsi="宋体"/>
                <w:szCs w:val="21"/>
              </w:rPr>
              <w:t>同步接口</w:t>
            </w:r>
          </w:p>
        </w:tc>
        <w:tc>
          <w:tcPr>
            <w:tcW w:w="1560" w:type="dxa"/>
            <w:vAlign w:val="center"/>
          </w:tcPr>
          <w:p>
            <w:pPr>
              <w:spacing w:line="360" w:lineRule="auto"/>
              <w:jc w:val="center"/>
              <w:rPr>
                <w:rFonts w:ascii="宋体" w:hAnsi="宋体"/>
                <w:szCs w:val="21"/>
              </w:rPr>
            </w:pPr>
            <w:r>
              <w:rPr>
                <w:szCs w:val="21"/>
              </w:rPr>
              <w:t>内置GPS</w:t>
            </w:r>
          </w:p>
        </w:tc>
        <w:tc>
          <w:tcPr>
            <w:tcW w:w="5667" w:type="dxa"/>
            <w:vAlign w:val="center"/>
          </w:tcPr>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1个（SMA头）</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trPr>
        <w:tc>
          <w:tcPr>
            <w:tcW w:w="1242" w:type="dxa"/>
            <w:gridSpan w:val="2"/>
            <w:vMerge w:val="continue"/>
            <w:vAlign w:val="center"/>
          </w:tcPr>
          <w:p>
            <w:pPr>
              <w:spacing w:line="360" w:lineRule="auto"/>
              <w:jc w:val="center"/>
              <w:rPr>
                <w:rFonts w:ascii="宋体" w:hAnsi="宋体"/>
                <w:szCs w:val="21"/>
              </w:rPr>
            </w:pPr>
          </w:p>
        </w:tc>
        <w:tc>
          <w:tcPr>
            <w:tcW w:w="1560" w:type="dxa"/>
            <w:vAlign w:val="center"/>
          </w:tcPr>
          <w:p>
            <w:pPr>
              <w:spacing w:line="360" w:lineRule="auto"/>
              <w:jc w:val="center"/>
              <w:rPr>
                <w:rFonts w:ascii="宋体" w:hAnsi="宋体"/>
                <w:szCs w:val="21"/>
              </w:rPr>
            </w:pPr>
            <w:r>
              <w:rPr>
                <w:szCs w:val="21"/>
              </w:rPr>
              <w:t>IRIG-B接口</w:t>
            </w:r>
          </w:p>
        </w:tc>
        <w:tc>
          <w:tcPr>
            <w:tcW w:w="5667" w:type="dxa"/>
            <w:vAlign w:val="center"/>
          </w:tcPr>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2个ST光口（IN/OUT），2个电口（IN/OUT）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trPr>
        <w:tc>
          <w:tcPr>
            <w:tcW w:w="1242" w:type="dxa"/>
            <w:gridSpan w:val="2"/>
            <w:vMerge w:val="continue"/>
            <w:vAlign w:val="center"/>
          </w:tcPr>
          <w:p>
            <w:pPr>
              <w:spacing w:line="360" w:lineRule="auto"/>
              <w:jc w:val="center"/>
              <w:rPr>
                <w:rFonts w:ascii="宋体" w:hAnsi="宋体"/>
                <w:szCs w:val="21"/>
              </w:rPr>
            </w:pPr>
          </w:p>
        </w:tc>
        <w:tc>
          <w:tcPr>
            <w:tcW w:w="1560" w:type="dxa"/>
            <w:vAlign w:val="center"/>
          </w:tcPr>
          <w:p>
            <w:pPr>
              <w:spacing w:line="360" w:lineRule="auto"/>
              <w:jc w:val="center"/>
              <w:rPr>
                <w:rFonts w:ascii="宋体" w:hAnsi="宋体"/>
                <w:szCs w:val="21"/>
              </w:rPr>
            </w:pPr>
            <w:r>
              <w:rPr>
                <w:szCs w:val="21"/>
              </w:rPr>
              <w:t>IEEE-1588接口</w:t>
            </w:r>
          </w:p>
        </w:tc>
        <w:tc>
          <w:tcPr>
            <w:tcW w:w="5667" w:type="dxa"/>
            <w:vAlign w:val="center"/>
          </w:tcPr>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1对（ LC光口）</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2802" w:type="dxa"/>
            <w:gridSpan w:val="3"/>
            <w:vAlign w:val="center"/>
          </w:tcPr>
          <w:p>
            <w:pPr>
              <w:spacing w:line="360" w:lineRule="auto"/>
              <w:jc w:val="center"/>
              <w:rPr>
                <w:rFonts w:ascii="宋体" w:hAnsi="宋体"/>
                <w:szCs w:val="21"/>
              </w:rPr>
            </w:pPr>
            <w:r>
              <w:rPr>
                <w:rFonts w:hint="eastAsia" w:ascii="宋体" w:hAnsi="宋体"/>
                <w:szCs w:val="21"/>
              </w:rPr>
              <w:t>无线功能</w:t>
            </w:r>
          </w:p>
        </w:tc>
        <w:tc>
          <w:tcPr>
            <w:tcW w:w="5667" w:type="dxa"/>
            <w:vAlign w:val="center"/>
          </w:tcPr>
          <w:p>
            <w:pPr>
              <w:spacing w:line="36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内置Wi-Fi模块，可无线控制测试仪</w:t>
            </w:r>
          </w:p>
        </w:tc>
      </w:tr>
    </w:tbl>
    <w:p>
      <w:pPr>
        <w:numPr>
          <w:ilvl w:val="0"/>
          <w:numId w:val="0"/>
        </w:numPr>
        <w:spacing w:line="360" w:lineRule="auto"/>
        <w:ind w:leftChars="0"/>
        <w:rPr>
          <w:rFonts w:hint="eastAsia" w:ascii="黑体" w:hAnsi="黑体" w:eastAsia="黑体" w:cs="Times New Roman"/>
          <w:szCs w:val="24"/>
          <w:highlight w:val="none"/>
          <w:lang w:val="en-US" w:eastAsia="zh-CN"/>
        </w:rPr>
      </w:pPr>
      <w:r>
        <w:rPr>
          <w:rFonts w:hint="eastAsia" w:ascii="黑体" w:hAnsi="黑体" w:eastAsia="黑体" w:cs="Times New Roman"/>
          <w:szCs w:val="24"/>
          <w:highlight w:val="none"/>
          <w:lang w:val="en-US" w:eastAsia="zh-CN"/>
        </w:rPr>
        <w:t xml:space="preserve">                                                </w:t>
      </w:r>
    </w:p>
    <w:p>
      <w:pPr>
        <w:numPr>
          <w:ilvl w:val="0"/>
          <w:numId w:val="0"/>
        </w:numPr>
        <w:spacing w:line="360" w:lineRule="auto"/>
        <w:ind w:leftChars="0"/>
        <w:rPr>
          <w:rFonts w:ascii="宋体" w:hAnsi="宋体"/>
          <w:b/>
          <w:bCs/>
          <w:color w:val="000000"/>
          <w:sz w:val="24"/>
          <w:szCs w:val="24"/>
          <w:shd w:val="pct10" w:color="auto" w:fill="FFFFFF"/>
        </w:rPr>
      </w:pPr>
      <w:r>
        <w:rPr>
          <w:rFonts w:hint="eastAsia" w:ascii="黑体" w:hAnsi="黑体" w:eastAsia="黑体" w:cs="Times New Roman"/>
          <w:szCs w:val="24"/>
          <w:highlight w:val="none"/>
          <w:lang w:val="en-US" w:eastAsia="zh-CN"/>
        </w:rPr>
        <w:t xml:space="preserve">6主要必备功能：   </w:t>
      </w:r>
    </w:p>
    <w:p>
      <w:pPr>
        <w:spacing w:line="360" w:lineRule="auto"/>
        <w:ind w:firstLine="420" w:firstLineChars="200"/>
        <w:jc w:val="left"/>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6</w:t>
      </w:r>
      <w:r>
        <w:rPr>
          <w:rFonts w:hint="eastAsia" w:ascii="Times New Roman" w:hAnsi="Times New Roman" w:eastAsia="宋体" w:cs="Times New Roman"/>
          <w:kern w:val="2"/>
          <w:sz w:val="21"/>
          <w:szCs w:val="21"/>
          <w:highlight w:val="none"/>
          <w:lang w:val="en-US" w:eastAsia="zh-CN" w:bidi="ar-SA"/>
        </w:rPr>
        <w:t>.1软件测试功能丰富，能够对电压、电流、频率、中间、时间、阻抗、差动等各种继电器和线路保护、母线保护、变压器保护、发变组保护等各种微机保护装置进行测试。</w:t>
      </w:r>
    </w:p>
    <w:p>
      <w:pPr>
        <w:spacing w:line="360" w:lineRule="auto"/>
        <w:ind w:firstLine="420" w:firstLineChars="200"/>
        <w:jc w:val="left"/>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6</w:t>
      </w:r>
      <w:r>
        <w:rPr>
          <w:rFonts w:hint="eastAsia" w:ascii="Times New Roman" w:hAnsi="Times New Roman" w:eastAsia="宋体" w:cs="Times New Roman"/>
          <w:kern w:val="2"/>
          <w:sz w:val="21"/>
          <w:szCs w:val="21"/>
          <w:highlight w:val="none"/>
          <w:lang w:val="en-US" w:eastAsia="zh-CN" w:bidi="ar-SA"/>
        </w:rPr>
        <w:t>.2内嵌工控机，10.4英寸触摸屏，支持脱机操作，体积小巧，便于携带；</w:t>
      </w:r>
    </w:p>
    <w:p>
      <w:pPr>
        <w:spacing w:line="360" w:lineRule="auto"/>
        <w:ind w:firstLine="420" w:firstLineChars="200"/>
        <w:jc w:val="left"/>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6</w:t>
      </w:r>
      <w:r>
        <w:rPr>
          <w:rFonts w:hint="eastAsia" w:ascii="Times New Roman" w:hAnsi="Times New Roman" w:eastAsia="宋体" w:cs="Times New Roman"/>
          <w:kern w:val="2"/>
          <w:sz w:val="21"/>
          <w:szCs w:val="21"/>
          <w:highlight w:val="none"/>
          <w:lang w:val="en-US" w:eastAsia="zh-CN" w:bidi="ar-SA"/>
        </w:rPr>
        <w:t>.3支持12路D/A，6U+6I同时任意输出方式，所有电压、电流相均可同时带载输出；</w:t>
      </w:r>
    </w:p>
    <w:p>
      <w:pPr>
        <w:spacing w:line="360" w:lineRule="auto"/>
        <w:ind w:firstLine="420" w:firstLineChars="200"/>
        <w:jc w:val="left"/>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6</w:t>
      </w:r>
      <w:r>
        <w:rPr>
          <w:rFonts w:hint="eastAsia" w:ascii="Times New Roman" w:hAnsi="Times New Roman" w:eastAsia="宋体" w:cs="Times New Roman"/>
          <w:kern w:val="2"/>
          <w:sz w:val="21"/>
          <w:szCs w:val="21"/>
          <w:highlight w:val="none"/>
          <w:lang w:val="en-US" w:eastAsia="zh-CN" w:bidi="ar-SA"/>
        </w:rPr>
        <w:t>.4采用双网口，自动测试不需外接交换机，现场操作更方便；</w:t>
      </w:r>
    </w:p>
    <w:p>
      <w:pPr>
        <w:spacing w:line="360" w:lineRule="auto"/>
        <w:ind w:firstLine="420" w:firstLineChars="200"/>
        <w:jc w:val="left"/>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6</w:t>
      </w:r>
      <w:r>
        <w:rPr>
          <w:rFonts w:hint="eastAsia" w:ascii="Times New Roman" w:hAnsi="Times New Roman" w:eastAsia="宋体" w:cs="Times New Roman"/>
          <w:kern w:val="2"/>
          <w:sz w:val="21"/>
          <w:szCs w:val="21"/>
          <w:highlight w:val="none"/>
          <w:lang w:val="en-US" w:eastAsia="zh-CN" w:bidi="ar-SA"/>
        </w:rPr>
        <w:t>.5内置Wi-Fi接入功能，可实现用计算机通过无线网络控制测试仪，极大方便现场人员的操作；</w:t>
      </w:r>
    </w:p>
    <w:p>
      <w:pPr>
        <w:spacing w:line="360" w:lineRule="auto"/>
        <w:ind w:firstLine="420" w:firstLineChars="200"/>
        <w:jc w:val="left"/>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6</w:t>
      </w:r>
      <w:r>
        <w:rPr>
          <w:rFonts w:hint="eastAsia" w:ascii="Times New Roman" w:hAnsi="Times New Roman" w:eastAsia="宋体" w:cs="Times New Roman"/>
          <w:kern w:val="2"/>
          <w:sz w:val="21"/>
          <w:szCs w:val="21"/>
          <w:highlight w:val="none"/>
          <w:lang w:val="en-US" w:eastAsia="zh-CN" w:bidi="ar-SA"/>
        </w:rPr>
        <w:t>.6 USB接口功能更加完善，支持外接鼠标、键盘，识别U盘等，满足多种需求；</w:t>
      </w:r>
    </w:p>
    <w:p>
      <w:pPr>
        <w:spacing w:line="360" w:lineRule="auto"/>
        <w:ind w:firstLine="420" w:firstLineChars="200"/>
        <w:jc w:val="left"/>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6</w:t>
      </w:r>
      <w:r>
        <w:rPr>
          <w:rFonts w:hint="eastAsia" w:ascii="Times New Roman" w:hAnsi="Times New Roman" w:eastAsia="宋体" w:cs="Times New Roman"/>
          <w:kern w:val="2"/>
          <w:sz w:val="21"/>
          <w:szCs w:val="21"/>
          <w:highlight w:val="none"/>
          <w:lang w:val="en-US" w:eastAsia="zh-CN" w:bidi="ar-SA"/>
        </w:rPr>
        <w:t>.7脱机运行和外接PC操作使用的是同一套软件，不需要再学习另一套软件，操作使用上更方便;</w:t>
      </w:r>
    </w:p>
    <w:p>
      <w:pPr>
        <w:spacing w:line="360" w:lineRule="auto"/>
        <w:ind w:firstLine="420" w:firstLineChars="200"/>
        <w:jc w:val="left"/>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6</w:t>
      </w:r>
      <w:r>
        <w:rPr>
          <w:rFonts w:hint="eastAsia" w:ascii="Times New Roman" w:hAnsi="Times New Roman" w:eastAsia="宋体" w:cs="Times New Roman"/>
          <w:kern w:val="2"/>
          <w:sz w:val="21"/>
          <w:szCs w:val="21"/>
          <w:highlight w:val="none"/>
          <w:lang w:val="en-US" w:eastAsia="zh-CN" w:bidi="ar-SA"/>
        </w:rPr>
        <w:t>.8具有GPS，IRIG-B，IEEE-1588等多种同步对时功能；</w:t>
      </w:r>
    </w:p>
    <w:p>
      <w:pPr>
        <w:spacing w:line="360" w:lineRule="auto"/>
        <w:ind w:firstLine="420" w:firstLineChars="200"/>
        <w:jc w:val="left"/>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6</w:t>
      </w:r>
      <w:r>
        <w:rPr>
          <w:rFonts w:hint="eastAsia" w:ascii="Times New Roman" w:hAnsi="Times New Roman" w:eastAsia="宋体" w:cs="Times New Roman"/>
          <w:kern w:val="2"/>
          <w:sz w:val="21"/>
          <w:szCs w:val="21"/>
          <w:highlight w:val="none"/>
          <w:lang w:val="en-US" w:eastAsia="zh-CN" w:bidi="ar-SA"/>
        </w:rPr>
        <w:t>.9支持U盘升级上下位机程序，也可外接计算机，操作更方便；</w:t>
      </w:r>
    </w:p>
    <w:p>
      <w:pPr>
        <w:spacing w:line="360" w:lineRule="auto"/>
        <w:ind w:firstLine="420" w:firstLineChars="200"/>
        <w:jc w:val="left"/>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6</w:t>
      </w:r>
      <w:r>
        <w:rPr>
          <w:rFonts w:hint="eastAsia" w:ascii="Times New Roman" w:hAnsi="Times New Roman" w:eastAsia="宋体" w:cs="Times New Roman"/>
          <w:kern w:val="2"/>
          <w:sz w:val="21"/>
          <w:szCs w:val="21"/>
          <w:highlight w:val="none"/>
          <w:lang w:val="en-US" w:eastAsia="zh-CN" w:bidi="ar-SA"/>
        </w:rPr>
        <w:t>.10模拟输出的电流地In与电压地Un之间电气隔离，更加符合测试现场的接线要求。</w:t>
      </w:r>
    </w:p>
    <w:p>
      <w:pPr>
        <w:spacing w:line="360" w:lineRule="auto"/>
        <w:ind w:firstLine="420" w:firstLineChars="200"/>
        <w:jc w:val="left"/>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6</w:t>
      </w:r>
      <w:r>
        <w:rPr>
          <w:rFonts w:hint="eastAsia" w:ascii="Times New Roman" w:hAnsi="Times New Roman" w:eastAsia="宋体" w:cs="Times New Roman"/>
          <w:kern w:val="2"/>
          <w:sz w:val="21"/>
          <w:szCs w:val="21"/>
          <w:highlight w:val="none"/>
          <w:lang w:val="en-US" w:eastAsia="zh-CN" w:bidi="ar-SA"/>
        </w:rPr>
        <w:t>.11支持高达50次谐波输出，可同时叠加间次谐波，方便测试高压直流滤波器等保护装置；</w:t>
      </w:r>
    </w:p>
    <w:p>
      <w:pPr>
        <w:spacing w:line="360" w:lineRule="auto"/>
        <w:ind w:firstLine="420" w:firstLineChars="200"/>
        <w:jc w:val="left"/>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6</w:t>
      </w:r>
      <w:r>
        <w:rPr>
          <w:rFonts w:hint="eastAsia" w:ascii="Times New Roman" w:hAnsi="Times New Roman" w:eastAsia="宋体" w:cs="Times New Roman"/>
          <w:kern w:val="2"/>
          <w:sz w:val="21"/>
          <w:szCs w:val="21"/>
          <w:highlight w:val="none"/>
          <w:lang w:val="en-US" w:eastAsia="zh-CN" w:bidi="ar-SA"/>
        </w:rPr>
        <w:t>.12提供了保护的阻抗特性编辑功能：可通过模板导入，也可以自定义；极大方便用户进行调试；</w:t>
      </w:r>
    </w:p>
    <w:p>
      <w:pPr>
        <w:spacing w:line="360" w:lineRule="auto"/>
        <w:ind w:firstLine="420" w:firstLineChars="200"/>
        <w:jc w:val="left"/>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6</w:t>
      </w:r>
      <w:r>
        <w:rPr>
          <w:rFonts w:hint="eastAsia" w:ascii="Times New Roman" w:hAnsi="Times New Roman" w:eastAsia="宋体" w:cs="Times New Roman"/>
          <w:kern w:val="2"/>
          <w:sz w:val="21"/>
          <w:szCs w:val="21"/>
          <w:highlight w:val="none"/>
          <w:lang w:val="en-US" w:eastAsia="zh-CN" w:bidi="ar-SA"/>
        </w:rPr>
        <w:t>.13状态序列菜单可提供高达60个状态进行测试，所有状态均可由用户自由设置；各状态下的开出量的开合能自由控制，用于模拟保护出口接点的动作情况，尤其方便于故障录波器的独立调试；支持多次重复试验，记录多次结果的功能；支持阶梯变化；支持设置各自通道频率的线性变化；</w:t>
      </w:r>
    </w:p>
    <w:p>
      <w:pPr>
        <w:spacing w:line="360" w:lineRule="auto"/>
        <w:ind w:firstLine="420" w:firstLineChars="200"/>
        <w:jc w:val="left"/>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6</w:t>
      </w:r>
      <w:r>
        <w:rPr>
          <w:rFonts w:hint="eastAsia" w:ascii="Times New Roman" w:hAnsi="Times New Roman" w:eastAsia="宋体" w:cs="Times New Roman"/>
          <w:kern w:val="2"/>
          <w:sz w:val="21"/>
          <w:szCs w:val="21"/>
          <w:highlight w:val="none"/>
          <w:lang w:val="en-US" w:eastAsia="zh-CN" w:bidi="ar-SA"/>
        </w:rPr>
        <w:t>.14能够对标准的COMTRADE格式的故障录波数据进行回放，可以查看原始录波文件波形，支持开出量回放及开入量记录，无需通过外接计算机进行操作；</w:t>
      </w:r>
    </w:p>
    <w:p>
      <w:pPr>
        <w:spacing w:line="360" w:lineRule="auto"/>
        <w:ind w:firstLine="420" w:firstLineChars="200"/>
        <w:jc w:val="left"/>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6</w:t>
      </w:r>
      <w:r>
        <w:rPr>
          <w:rFonts w:hint="eastAsia" w:ascii="Times New Roman" w:hAnsi="Times New Roman" w:eastAsia="宋体" w:cs="Times New Roman"/>
          <w:kern w:val="2"/>
          <w:sz w:val="21"/>
          <w:szCs w:val="21"/>
          <w:highlight w:val="none"/>
          <w:lang w:val="en-US" w:eastAsia="zh-CN" w:bidi="ar-SA"/>
        </w:rPr>
        <w:t>.15有专用的不灵敏零序和自动重合闸及后加速定值校验菜单，可定性分析保护动作的灵敏性和可靠性，满足用户更多的测试需求；</w:t>
      </w:r>
    </w:p>
    <w:p>
      <w:pPr>
        <w:spacing w:line="360" w:lineRule="auto"/>
        <w:ind w:firstLine="420" w:firstLineChars="200"/>
        <w:jc w:val="left"/>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6</w:t>
      </w:r>
      <w:r>
        <w:rPr>
          <w:rFonts w:hint="eastAsia" w:ascii="Times New Roman" w:hAnsi="Times New Roman" w:eastAsia="宋体" w:cs="Times New Roman"/>
          <w:kern w:val="2"/>
          <w:sz w:val="21"/>
          <w:szCs w:val="21"/>
          <w:highlight w:val="none"/>
          <w:lang w:val="en-US" w:eastAsia="zh-CN" w:bidi="ar-SA"/>
        </w:rPr>
        <w:t>.16能够对各种发电机、变压器、母差等差动保护的比例制动和谐波制动特性进行搜索和检验，支持边界搜索和定点测试，支持二分法搜索和单向搜索，满足用户更多的需求。</w:t>
      </w:r>
    </w:p>
    <w:p>
      <w:pPr>
        <w:spacing w:line="360" w:lineRule="auto"/>
        <w:ind w:firstLine="420" w:firstLineChars="200"/>
        <w:jc w:val="left"/>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6</w:t>
      </w:r>
      <w:r>
        <w:rPr>
          <w:rFonts w:hint="eastAsia" w:ascii="Times New Roman" w:hAnsi="Times New Roman" w:eastAsia="宋体" w:cs="Times New Roman"/>
          <w:kern w:val="2"/>
          <w:sz w:val="21"/>
          <w:szCs w:val="21"/>
          <w:highlight w:val="none"/>
          <w:lang w:val="en-US" w:eastAsia="zh-CN" w:bidi="ar-SA"/>
        </w:rPr>
        <w:t>.17可以直接和保护装置进行通讯，读取保护定值、采样值、保护报告等信息，以及修改保护定值、投退控制字及软压板等操作；</w:t>
      </w:r>
    </w:p>
    <w:p>
      <w:pPr>
        <w:spacing w:line="360" w:lineRule="auto"/>
        <w:ind w:firstLine="420" w:firstLineChars="200"/>
        <w:jc w:val="left"/>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6</w:t>
      </w:r>
      <w:r>
        <w:rPr>
          <w:rFonts w:hint="eastAsia" w:ascii="Times New Roman" w:hAnsi="Times New Roman" w:eastAsia="宋体" w:cs="Times New Roman"/>
          <w:kern w:val="2"/>
          <w:sz w:val="21"/>
          <w:szCs w:val="21"/>
          <w:highlight w:val="none"/>
          <w:lang w:val="en-US" w:eastAsia="zh-CN" w:bidi="ar-SA"/>
        </w:rPr>
        <w:t>.18支持内嵌自动测试软件系统，为继电保护装置检验提供一个规范化、标准化和高效率的解决方案；</w:t>
      </w:r>
    </w:p>
    <w:p>
      <w:pPr>
        <w:spacing w:line="360" w:lineRule="auto"/>
        <w:ind w:firstLine="420" w:firstLineChars="200"/>
        <w:jc w:val="left"/>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6</w:t>
      </w:r>
      <w:r>
        <w:rPr>
          <w:rFonts w:hint="eastAsia" w:ascii="Times New Roman" w:hAnsi="Times New Roman" w:eastAsia="宋体" w:cs="Times New Roman"/>
          <w:kern w:val="2"/>
          <w:sz w:val="21"/>
          <w:szCs w:val="21"/>
          <w:highlight w:val="none"/>
          <w:lang w:val="en-US" w:eastAsia="zh-CN" w:bidi="ar-SA"/>
        </w:rPr>
        <w:t>.19提供测试模板的开发平台，客户可以根据需求进行测试模板的定制与二次开发。</w:t>
      </w:r>
    </w:p>
    <w:p>
      <w:pPr>
        <w:autoSpaceDE w:val="0"/>
        <w:autoSpaceDN w:val="0"/>
        <w:adjustRightInd w:val="0"/>
        <w:spacing w:line="360" w:lineRule="auto"/>
        <w:jc w:val="left"/>
        <w:rPr>
          <w:rFonts w:ascii="宋体" w:hAnsi="宋体"/>
          <w:b w:val="0"/>
          <w:bCs w:val="0"/>
          <w:sz w:val="24"/>
        </w:rPr>
      </w:pPr>
    </w:p>
    <w:p>
      <w:pPr>
        <w:autoSpaceDE w:val="0"/>
        <w:autoSpaceDN w:val="0"/>
        <w:adjustRightInd w:val="0"/>
        <w:spacing w:line="360" w:lineRule="auto"/>
        <w:jc w:val="left"/>
        <w:rPr>
          <w:rFonts w:ascii="宋体" w:hAnsi="宋体"/>
          <w:b/>
          <w:sz w:val="24"/>
        </w:rPr>
      </w:pPr>
    </w:p>
    <w:p>
      <w:pPr>
        <w:autoSpaceDE w:val="0"/>
        <w:autoSpaceDN w:val="0"/>
        <w:adjustRightInd w:val="0"/>
        <w:spacing w:line="360" w:lineRule="auto"/>
        <w:ind w:left="200"/>
        <w:jc w:val="left"/>
        <w:rPr>
          <w:rFonts w:ascii="宋体" w:hAnsi="宋体"/>
          <w:b/>
          <w:sz w:val="24"/>
        </w:rPr>
      </w:pPr>
    </w:p>
    <w:p>
      <w:pPr>
        <w:autoSpaceDE w:val="0"/>
        <w:autoSpaceDN w:val="0"/>
        <w:adjustRightInd w:val="0"/>
        <w:spacing w:line="360" w:lineRule="auto"/>
        <w:ind w:left="200"/>
        <w:jc w:val="left"/>
        <w:rPr>
          <w:rFonts w:ascii="宋体" w:hAnsi="宋体"/>
          <w:b/>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8D955B1-AB5E-496D-92F7-B2A4D2394B4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36F79F2D-CDCA-478F-B659-CFE4F19B4A46}"/>
  </w:font>
  <w:font w:name="方正小标宋简体">
    <w:panose1 w:val="02000000000000000000"/>
    <w:charset w:val="86"/>
    <w:family w:val="auto"/>
    <w:pitch w:val="default"/>
    <w:sig w:usb0="00000001" w:usb1="08000000" w:usb2="00000000" w:usb3="00000000" w:csb0="00040000" w:csb1="00000000"/>
    <w:embedRegular r:id="rId3" w:fontKey="{6EEEEFE0-DC3D-4310-B812-60579FE3B896}"/>
  </w:font>
  <w:font w:name="Microsoft JhengHei">
    <w:panose1 w:val="020B0604030504040204"/>
    <w:charset w:val="88"/>
    <w:family w:val="swiss"/>
    <w:pitch w:val="default"/>
    <w:sig w:usb0="000002A7" w:usb1="28CF4400" w:usb2="00000016" w:usb3="00000000" w:csb0="00100009" w:csb1="00000000"/>
    <w:embedRegular r:id="rId4" w:fontKey="{449A552E-E9E8-4DA6-833D-540BCDED817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2"/>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yNDYwMzRiMDkwZWUxYzI0OTI5MjNiYTJiMzliYTQifQ=="/>
  </w:docVars>
  <w:rsids>
    <w:rsidRoot w:val="00B35888"/>
    <w:rsid w:val="000276B5"/>
    <w:rsid w:val="000344AC"/>
    <w:rsid w:val="00065B73"/>
    <w:rsid w:val="000901B2"/>
    <w:rsid w:val="00097E83"/>
    <w:rsid w:val="000B214B"/>
    <w:rsid w:val="000C154B"/>
    <w:rsid w:val="000D5045"/>
    <w:rsid w:val="00145EEB"/>
    <w:rsid w:val="00155A17"/>
    <w:rsid w:val="00161693"/>
    <w:rsid w:val="001618EC"/>
    <w:rsid w:val="00173820"/>
    <w:rsid w:val="001C55DD"/>
    <w:rsid w:val="001C6B25"/>
    <w:rsid w:val="001D6355"/>
    <w:rsid w:val="001E4D7E"/>
    <w:rsid w:val="001E5450"/>
    <w:rsid w:val="001F65A1"/>
    <w:rsid w:val="0027256A"/>
    <w:rsid w:val="00274687"/>
    <w:rsid w:val="002A49E0"/>
    <w:rsid w:val="002A5BAA"/>
    <w:rsid w:val="002C7CDA"/>
    <w:rsid w:val="002E7E68"/>
    <w:rsid w:val="002F4E8F"/>
    <w:rsid w:val="003007FF"/>
    <w:rsid w:val="003040CD"/>
    <w:rsid w:val="0033673D"/>
    <w:rsid w:val="00346A83"/>
    <w:rsid w:val="00346AA8"/>
    <w:rsid w:val="0035182C"/>
    <w:rsid w:val="00355F7F"/>
    <w:rsid w:val="00357535"/>
    <w:rsid w:val="00357F7E"/>
    <w:rsid w:val="00381758"/>
    <w:rsid w:val="003A49F4"/>
    <w:rsid w:val="003C06AA"/>
    <w:rsid w:val="003C571F"/>
    <w:rsid w:val="003C633D"/>
    <w:rsid w:val="003D2124"/>
    <w:rsid w:val="003D3A5E"/>
    <w:rsid w:val="003E6EF3"/>
    <w:rsid w:val="003F036D"/>
    <w:rsid w:val="003F22A3"/>
    <w:rsid w:val="004016DF"/>
    <w:rsid w:val="00415EEF"/>
    <w:rsid w:val="00427C24"/>
    <w:rsid w:val="004328FD"/>
    <w:rsid w:val="00434171"/>
    <w:rsid w:val="00435FAC"/>
    <w:rsid w:val="00444393"/>
    <w:rsid w:val="00444843"/>
    <w:rsid w:val="004572BC"/>
    <w:rsid w:val="004814EC"/>
    <w:rsid w:val="00486243"/>
    <w:rsid w:val="0049071C"/>
    <w:rsid w:val="004B2138"/>
    <w:rsid w:val="004B3017"/>
    <w:rsid w:val="004B367F"/>
    <w:rsid w:val="004D1BD3"/>
    <w:rsid w:val="004E1773"/>
    <w:rsid w:val="004E4F1F"/>
    <w:rsid w:val="004F28CC"/>
    <w:rsid w:val="004F51C2"/>
    <w:rsid w:val="00503FFE"/>
    <w:rsid w:val="005118F1"/>
    <w:rsid w:val="00532764"/>
    <w:rsid w:val="0053298C"/>
    <w:rsid w:val="00534325"/>
    <w:rsid w:val="00543499"/>
    <w:rsid w:val="00555D26"/>
    <w:rsid w:val="00563E5E"/>
    <w:rsid w:val="005652CE"/>
    <w:rsid w:val="00572D9C"/>
    <w:rsid w:val="005B0648"/>
    <w:rsid w:val="005D219A"/>
    <w:rsid w:val="005D2BA0"/>
    <w:rsid w:val="005F37BD"/>
    <w:rsid w:val="0060260B"/>
    <w:rsid w:val="00610237"/>
    <w:rsid w:val="006200B2"/>
    <w:rsid w:val="00635C11"/>
    <w:rsid w:val="0066624F"/>
    <w:rsid w:val="00666776"/>
    <w:rsid w:val="00667518"/>
    <w:rsid w:val="006A4CA9"/>
    <w:rsid w:val="006B40C9"/>
    <w:rsid w:val="006D1A12"/>
    <w:rsid w:val="006E3030"/>
    <w:rsid w:val="006F3CBC"/>
    <w:rsid w:val="007007D8"/>
    <w:rsid w:val="00702F34"/>
    <w:rsid w:val="007044EF"/>
    <w:rsid w:val="00721DFF"/>
    <w:rsid w:val="00727751"/>
    <w:rsid w:val="007321FF"/>
    <w:rsid w:val="00733D97"/>
    <w:rsid w:val="00743096"/>
    <w:rsid w:val="0074672C"/>
    <w:rsid w:val="00753C64"/>
    <w:rsid w:val="0079698F"/>
    <w:rsid w:val="007A7178"/>
    <w:rsid w:val="007B69F4"/>
    <w:rsid w:val="007C3067"/>
    <w:rsid w:val="007D0D50"/>
    <w:rsid w:val="007D3B29"/>
    <w:rsid w:val="007D59A7"/>
    <w:rsid w:val="007E64F4"/>
    <w:rsid w:val="007E7DC5"/>
    <w:rsid w:val="007F22AA"/>
    <w:rsid w:val="008475B3"/>
    <w:rsid w:val="00855311"/>
    <w:rsid w:val="0086393F"/>
    <w:rsid w:val="008733BF"/>
    <w:rsid w:val="008A5A0B"/>
    <w:rsid w:val="008C2938"/>
    <w:rsid w:val="008E6632"/>
    <w:rsid w:val="0093463D"/>
    <w:rsid w:val="00945C5F"/>
    <w:rsid w:val="00946154"/>
    <w:rsid w:val="00970EB2"/>
    <w:rsid w:val="0097627B"/>
    <w:rsid w:val="009A5B3B"/>
    <w:rsid w:val="009B5717"/>
    <w:rsid w:val="009E0D63"/>
    <w:rsid w:val="009E6995"/>
    <w:rsid w:val="009F642D"/>
    <w:rsid w:val="00A00680"/>
    <w:rsid w:val="00A156F0"/>
    <w:rsid w:val="00A50B63"/>
    <w:rsid w:val="00A54361"/>
    <w:rsid w:val="00A554D6"/>
    <w:rsid w:val="00A66A26"/>
    <w:rsid w:val="00A70E03"/>
    <w:rsid w:val="00A71647"/>
    <w:rsid w:val="00A75904"/>
    <w:rsid w:val="00A922BB"/>
    <w:rsid w:val="00A948AE"/>
    <w:rsid w:val="00AB3B39"/>
    <w:rsid w:val="00AE5B82"/>
    <w:rsid w:val="00AF6794"/>
    <w:rsid w:val="00B206AA"/>
    <w:rsid w:val="00B266C8"/>
    <w:rsid w:val="00B26AF3"/>
    <w:rsid w:val="00B35888"/>
    <w:rsid w:val="00B414D4"/>
    <w:rsid w:val="00B45527"/>
    <w:rsid w:val="00B470AC"/>
    <w:rsid w:val="00B524F5"/>
    <w:rsid w:val="00B570AB"/>
    <w:rsid w:val="00B57868"/>
    <w:rsid w:val="00B63929"/>
    <w:rsid w:val="00B672ED"/>
    <w:rsid w:val="00B7545E"/>
    <w:rsid w:val="00B840C0"/>
    <w:rsid w:val="00B8472C"/>
    <w:rsid w:val="00BA1119"/>
    <w:rsid w:val="00BB15CF"/>
    <w:rsid w:val="00BD6380"/>
    <w:rsid w:val="00BF09C1"/>
    <w:rsid w:val="00BF3B37"/>
    <w:rsid w:val="00C23253"/>
    <w:rsid w:val="00C27BB8"/>
    <w:rsid w:val="00C344A7"/>
    <w:rsid w:val="00C57DEB"/>
    <w:rsid w:val="00C71729"/>
    <w:rsid w:val="00C745A2"/>
    <w:rsid w:val="00C92275"/>
    <w:rsid w:val="00CA745B"/>
    <w:rsid w:val="00CB58C4"/>
    <w:rsid w:val="00CE6123"/>
    <w:rsid w:val="00D120C6"/>
    <w:rsid w:val="00D14409"/>
    <w:rsid w:val="00D23C4F"/>
    <w:rsid w:val="00D25475"/>
    <w:rsid w:val="00D815CF"/>
    <w:rsid w:val="00D92E38"/>
    <w:rsid w:val="00D9657E"/>
    <w:rsid w:val="00DA0B90"/>
    <w:rsid w:val="00DC5AEA"/>
    <w:rsid w:val="00DE3434"/>
    <w:rsid w:val="00DE556B"/>
    <w:rsid w:val="00E004F2"/>
    <w:rsid w:val="00E1689C"/>
    <w:rsid w:val="00E22211"/>
    <w:rsid w:val="00E25489"/>
    <w:rsid w:val="00E31694"/>
    <w:rsid w:val="00E341E8"/>
    <w:rsid w:val="00E361BF"/>
    <w:rsid w:val="00E51455"/>
    <w:rsid w:val="00E706EF"/>
    <w:rsid w:val="00E7664C"/>
    <w:rsid w:val="00E812D9"/>
    <w:rsid w:val="00EA402E"/>
    <w:rsid w:val="00EB0574"/>
    <w:rsid w:val="00EB6B2F"/>
    <w:rsid w:val="00EC7083"/>
    <w:rsid w:val="00EE4CD9"/>
    <w:rsid w:val="00EF07BE"/>
    <w:rsid w:val="00EF1367"/>
    <w:rsid w:val="00EF6278"/>
    <w:rsid w:val="00F221C7"/>
    <w:rsid w:val="00F53F82"/>
    <w:rsid w:val="00F73DFE"/>
    <w:rsid w:val="00F8055F"/>
    <w:rsid w:val="00F91548"/>
    <w:rsid w:val="00FA23DC"/>
    <w:rsid w:val="00FB1551"/>
    <w:rsid w:val="00FE1737"/>
    <w:rsid w:val="00FF289A"/>
    <w:rsid w:val="027D468B"/>
    <w:rsid w:val="04A22F2C"/>
    <w:rsid w:val="084A4DE8"/>
    <w:rsid w:val="0B4E7C98"/>
    <w:rsid w:val="0C255AA2"/>
    <w:rsid w:val="0ED0297C"/>
    <w:rsid w:val="176F309A"/>
    <w:rsid w:val="218A2544"/>
    <w:rsid w:val="24B849B8"/>
    <w:rsid w:val="28681C13"/>
    <w:rsid w:val="289B3BEC"/>
    <w:rsid w:val="2C290DF6"/>
    <w:rsid w:val="2CC66F08"/>
    <w:rsid w:val="3AC868D9"/>
    <w:rsid w:val="3E614CE2"/>
    <w:rsid w:val="4A5E5C7C"/>
    <w:rsid w:val="4CB46A0F"/>
    <w:rsid w:val="4DFB1A48"/>
    <w:rsid w:val="501C315F"/>
    <w:rsid w:val="56791DB5"/>
    <w:rsid w:val="71C31E24"/>
    <w:rsid w:val="75EB0D5A"/>
    <w:rsid w:val="77720D65"/>
    <w:rsid w:val="7D6347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0" w:semiHidden="0" w:name="Normal Indent"/>
    <w:lsdException w:uiPriority="99" w:name="footnote text"/>
    <w:lsdException w:qFormat="1"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rPr>
      <w:rFonts w:ascii="Times New Roman" w:hAnsi="Times New Roman" w:eastAsia="宋体" w:cs="Times New Roman"/>
      <w:szCs w:val="24"/>
    </w:rPr>
  </w:style>
  <w:style w:type="paragraph" w:styleId="3">
    <w:name w:val="Normal Indent"/>
    <w:basedOn w:val="1"/>
    <w:unhideWhenUsed/>
    <w:qFormat/>
    <w:uiPriority w:val="0"/>
    <w:pPr>
      <w:keepNext w:val="0"/>
      <w:keepLines w:val="0"/>
      <w:widowControl w:val="0"/>
      <w:suppressLineNumbers w:val="0"/>
      <w:spacing w:before="0" w:beforeAutospacing="0" w:after="0" w:afterAutospacing="0"/>
      <w:ind w:left="0" w:right="0" w:firstLine="420" w:firstLineChars="200"/>
      <w:jc w:val="both"/>
    </w:pPr>
    <w:rPr>
      <w:rFonts w:hint="default" w:ascii="Times New Roman" w:hAnsi="Times New Roman" w:eastAsia="宋体" w:cs="Times New Roman"/>
      <w:kern w:val="2"/>
      <w:sz w:val="21"/>
      <w:szCs w:val="21"/>
      <w:lang w:val="en-US" w:eastAsia="zh-CN" w:bidi="ar"/>
    </w:rPr>
  </w:style>
  <w:style w:type="paragraph" w:styleId="4">
    <w:name w:val="annotation text"/>
    <w:basedOn w:val="1"/>
    <w:link w:val="16"/>
    <w:semiHidden/>
    <w:unhideWhenUsed/>
    <w:qFormat/>
    <w:uiPriority w:val="99"/>
    <w:pPr>
      <w:jc w:val="left"/>
    </w:pPr>
  </w:style>
  <w:style w:type="paragraph" w:styleId="5">
    <w:name w:val="Balloon Text"/>
    <w:basedOn w:val="1"/>
    <w:link w:val="12"/>
    <w:semiHidden/>
    <w:unhideWhenUsed/>
    <w:qFormat/>
    <w:uiPriority w:val="99"/>
    <w:rPr>
      <w:sz w:val="18"/>
      <w:szCs w:val="18"/>
    </w:rPr>
  </w:style>
  <w:style w:type="paragraph" w:styleId="6">
    <w:name w:val="footer"/>
    <w:basedOn w:val="1"/>
    <w:link w:val="15"/>
    <w:semiHidden/>
    <w:unhideWhenUsed/>
    <w:qFormat/>
    <w:uiPriority w:val="99"/>
    <w:pPr>
      <w:tabs>
        <w:tab w:val="center" w:pos="4153"/>
        <w:tab w:val="right" w:pos="8306"/>
      </w:tabs>
      <w:snapToGrid w:val="0"/>
      <w:jc w:val="left"/>
    </w:pPr>
    <w:rPr>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annotation subject"/>
    <w:basedOn w:val="4"/>
    <w:next w:val="4"/>
    <w:link w:val="17"/>
    <w:semiHidden/>
    <w:unhideWhenUsed/>
    <w:qFormat/>
    <w:uiPriority w:val="99"/>
    <w:rPr>
      <w:b/>
      <w:bCs/>
    </w:rPr>
  </w:style>
  <w:style w:type="character" w:styleId="11">
    <w:name w:val="annotation reference"/>
    <w:basedOn w:val="10"/>
    <w:semiHidden/>
    <w:unhideWhenUsed/>
    <w:qFormat/>
    <w:uiPriority w:val="99"/>
    <w:rPr>
      <w:sz w:val="21"/>
      <w:szCs w:val="21"/>
    </w:rPr>
  </w:style>
  <w:style w:type="character" w:customStyle="1" w:styleId="12">
    <w:name w:val="批注框文本 Char"/>
    <w:basedOn w:val="10"/>
    <w:link w:val="5"/>
    <w:semiHidden/>
    <w:qFormat/>
    <w:uiPriority w:val="99"/>
    <w:rPr>
      <w:rFonts w:ascii="Calibri" w:hAnsi="Calibri" w:eastAsia="宋体" w:cs="Times New Roman"/>
      <w:sz w:val="18"/>
      <w:szCs w:val="18"/>
    </w:rPr>
  </w:style>
  <w:style w:type="paragraph" w:styleId="13">
    <w:name w:val="List Paragraph"/>
    <w:basedOn w:val="1"/>
    <w:qFormat/>
    <w:uiPriority w:val="34"/>
    <w:pPr>
      <w:ind w:firstLine="420" w:firstLineChars="200"/>
    </w:pPr>
  </w:style>
  <w:style w:type="character" w:customStyle="1" w:styleId="14">
    <w:name w:val="页眉 Char"/>
    <w:basedOn w:val="10"/>
    <w:link w:val="7"/>
    <w:qFormat/>
    <w:uiPriority w:val="99"/>
    <w:rPr>
      <w:kern w:val="2"/>
      <w:sz w:val="18"/>
      <w:szCs w:val="18"/>
    </w:rPr>
  </w:style>
  <w:style w:type="character" w:customStyle="1" w:styleId="15">
    <w:name w:val="页脚 Char"/>
    <w:basedOn w:val="10"/>
    <w:link w:val="6"/>
    <w:semiHidden/>
    <w:qFormat/>
    <w:uiPriority w:val="99"/>
    <w:rPr>
      <w:kern w:val="2"/>
      <w:sz w:val="18"/>
      <w:szCs w:val="18"/>
    </w:rPr>
  </w:style>
  <w:style w:type="character" w:customStyle="1" w:styleId="16">
    <w:name w:val="批注文字 Char"/>
    <w:basedOn w:val="10"/>
    <w:link w:val="4"/>
    <w:semiHidden/>
    <w:qFormat/>
    <w:uiPriority w:val="99"/>
    <w:rPr>
      <w:kern w:val="2"/>
      <w:sz w:val="21"/>
      <w:szCs w:val="22"/>
    </w:rPr>
  </w:style>
  <w:style w:type="character" w:customStyle="1" w:styleId="17">
    <w:name w:val="批注主题 Char"/>
    <w:basedOn w:val="16"/>
    <w:link w:val="8"/>
    <w:semiHidden/>
    <w:qFormat/>
    <w:uiPriority w:val="99"/>
    <w:rPr>
      <w:b/>
      <w:bCs/>
    </w:rPr>
  </w:style>
  <w:style w:type="paragraph" w:customStyle="1" w:styleId="18">
    <w:name w:val="修订1"/>
    <w:hidden/>
    <w:semiHidden/>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1FB177-235D-4CF8-885C-CE45CFA3A9E1}">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2243</Words>
  <Characters>2721</Characters>
  <Lines>18</Lines>
  <Paragraphs>5</Paragraphs>
  <TotalTime>1</TotalTime>
  <ScaleCrop>false</ScaleCrop>
  <LinksUpToDate>false</LinksUpToDate>
  <CharactersWithSpaces>2843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2017-09-11T02:56:00Z</dcterms:created>
  <dc:creator>user</dc:creator>
  <cp:lastModifiedBy>暖暖的掌心</cp:lastModifiedBy>
  <cp:lastPrinted>2018-01-30T07:07:00Z</cp:lastPrinted>
  <dcterms:modified xsi:type="dcterms:W3CDTF">2022-10-11T02:47:25Z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3AC90665E86D43B69FA50EA9FE054B72</vt:lpwstr>
  </property>
</Properties>
</file>