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0" w:leftChars="0" w:firstLine="360" w:firstLineChars="100"/>
        <w:jc w:val="both"/>
        <w:rPr>
          <w:rFonts w:hint="eastAsia" w:eastAsia="黑体"/>
          <w:sz w:val="36"/>
          <w:szCs w:val="22"/>
          <w:lang w:eastAsia="zh-CN"/>
        </w:rPr>
      </w:pPr>
      <w:r>
        <w:rPr>
          <w:rFonts w:hint="eastAsia" w:eastAsia="黑体"/>
          <w:sz w:val="36"/>
          <w:szCs w:val="22"/>
          <w:u w:val="single"/>
          <w:lang w:eastAsia="zh-CN"/>
        </w:rPr>
        <w:t>华能汤阴区域运维中心</w:t>
      </w:r>
      <w:r>
        <w:rPr>
          <w:rFonts w:hint="eastAsia" w:eastAsia="黑体"/>
          <w:sz w:val="36"/>
          <w:szCs w:val="22"/>
          <w:u w:val="single"/>
          <w:lang w:val="en-US" w:eastAsia="zh-CN"/>
        </w:rPr>
        <w:t>风电场</w:t>
      </w:r>
      <w:r>
        <w:rPr>
          <w:rFonts w:hint="eastAsia" w:eastAsia="黑体"/>
          <w:sz w:val="36"/>
          <w:szCs w:val="22"/>
          <w:u w:val="single"/>
          <w:lang w:eastAsia="zh-CN"/>
        </w:rPr>
        <w:t>生产物资询价采购</w:t>
      </w:r>
    </w:p>
    <w:p>
      <w:pPr>
        <w:spacing w:line="360" w:lineRule="auto"/>
        <w:ind w:firstLine="0" w:firstLineChars="0"/>
        <w:jc w:val="both"/>
        <w:rPr>
          <w:rFonts w:eastAsia="黑体"/>
          <w:sz w:val="36"/>
          <w:szCs w:val="22"/>
          <w:u w:val="single"/>
        </w:rPr>
      </w:pPr>
      <w:r>
        <w:rPr>
          <w:rFonts w:hint="eastAsia" w:eastAsia="黑体"/>
          <w:sz w:val="36"/>
          <w:szCs w:val="22"/>
        </w:rPr>
        <w:t xml:space="preserve"> </w:t>
      </w:r>
      <w:r>
        <w:rPr>
          <w:rFonts w:hint="eastAsia" w:eastAsia="黑体"/>
          <w:sz w:val="36"/>
          <w:szCs w:val="22"/>
          <w:lang w:val="en-US" w:eastAsia="zh-CN"/>
        </w:rPr>
        <w:t xml:space="preserve">               </w:t>
      </w:r>
      <w:r>
        <w:rPr>
          <w:rFonts w:hint="eastAsia" w:eastAsia="黑体"/>
          <w:sz w:val="36"/>
          <w:szCs w:val="22"/>
          <w:u w:val="single"/>
          <w:lang w:val="en-US" w:eastAsia="zh-CN"/>
        </w:rPr>
        <w:t xml:space="preserve">   </w:t>
      </w:r>
      <w:r>
        <w:rPr>
          <w:rFonts w:hint="eastAsia" w:eastAsia="黑体"/>
          <w:sz w:val="36"/>
          <w:szCs w:val="22"/>
          <w:u w:val="single"/>
        </w:rPr>
        <w:t>询价</w:t>
      </w:r>
      <w:r>
        <w:rPr>
          <w:rFonts w:eastAsia="黑体"/>
          <w:sz w:val="36"/>
          <w:szCs w:val="22"/>
          <w:u w:val="single"/>
        </w:rPr>
        <w:t>公告</w:t>
      </w:r>
    </w:p>
    <w:p>
      <w:pPr>
        <w:spacing w:before="120"/>
        <w:ind w:firstLine="0" w:firstLineChars="0"/>
      </w:pPr>
    </w:p>
    <w:p>
      <w:pPr>
        <w:pStyle w:val="4"/>
        <w:spacing w:before="156"/>
      </w:pPr>
      <w:bookmarkStart w:id="0" w:name="_Toc361508574"/>
      <w:bookmarkEnd w:id="0"/>
      <w:bookmarkStart w:id="1" w:name="_Toc352691465"/>
      <w:bookmarkEnd w:id="1"/>
      <w:bookmarkStart w:id="2" w:name="_Toc369531507"/>
      <w:bookmarkEnd w:id="2"/>
      <w:bookmarkStart w:id="3" w:name="_Toc384308199"/>
      <w:bookmarkEnd w:id="3"/>
      <w:bookmarkStart w:id="4" w:name="_Toc18885"/>
      <w:bookmarkEnd w:id="4"/>
      <w:bookmarkStart w:id="5" w:name="_Toc384308200"/>
      <w:bookmarkStart w:id="6" w:name="_Toc361508575"/>
      <w:r>
        <w:rPr>
          <w:rFonts w:hint="eastAsia"/>
        </w:rPr>
        <w:t>一、</w:t>
      </w:r>
      <w:r>
        <w:t>项目介绍</w:t>
      </w:r>
    </w:p>
    <w:p>
      <w:pPr>
        <w:ind w:firstLine="480"/>
        <w:rPr>
          <w:rFonts w:ascii="宋体" w:hAnsi="宋体" w:cs="宋体"/>
          <w:szCs w:val="24"/>
        </w:rPr>
      </w:pPr>
      <w:r>
        <w:rPr>
          <w:rFonts w:hint="eastAsia" w:ascii="宋体" w:hAnsi="宋体" w:cs="宋体"/>
          <w:szCs w:val="24"/>
        </w:rPr>
        <w:t>1.</w:t>
      </w:r>
      <w:r>
        <w:rPr>
          <w:rFonts w:ascii="宋体" w:hAnsi="宋体" w:cs="宋体"/>
          <w:szCs w:val="24"/>
        </w:rPr>
        <w:t xml:space="preserve"> </w:t>
      </w:r>
      <w:r>
        <w:rPr>
          <w:rFonts w:hint="eastAsia" w:ascii="宋体" w:hAnsi="宋体" w:cs="宋体"/>
          <w:szCs w:val="24"/>
        </w:rPr>
        <w:t>项目概况：</w:t>
      </w:r>
      <w:r>
        <w:rPr>
          <w:rFonts w:hint="eastAsia" w:ascii="宋体" w:hAnsi="宋体" w:cs="宋体"/>
          <w:szCs w:val="24"/>
          <w:u w:val="single"/>
        </w:rPr>
        <w:t xml:space="preserve"> </w:t>
      </w:r>
      <w:r>
        <w:rPr>
          <w:rFonts w:ascii="宋体" w:hAnsi="宋体" w:cs="宋体"/>
          <w:szCs w:val="24"/>
          <w:u w:val="single"/>
        </w:rPr>
        <w:t xml:space="preserve"> </w:t>
      </w:r>
      <w:r>
        <w:rPr>
          <w:rFonts w:hint="eastAsia" w:ascii="宋体" w:hAnsi="宋体" w:cs="宋体"/>
          <w:szCs w:val="24"/>
          <w:u w:val="single"/>
          <w:lang w:val="en-US" w:eastAsia="zh-CN"/>
        </w:rPr>
        <w:t>汤阴区域运维中心为华能国际电力股份有限公司河南清洁能源分公司在驻汤阴等地区的管理机构，主要负责以下新能源场站的生产管理工作。本次物资采购中，采购清单中所列物资需要运送至汤阴一期、二期风电场</w:t>
      </w:r>
      <w:r>
        <w:rPr>
          <w:rFonts w:ascii="宋体" w:hAnsi="宋体" w:cs="宋体"/>
          <w:szCs w:val="24"/>
          <w:u w:val="single"/>
        </w:rPr>
        <w:t xml:space="preserve">   </w:t>
      </w:r>
      <w:r>
        <w:rPr>
          <w:rFonts w:hint="eastAsia" w:ascii="宋体" w:hAnsi="宋体" w:cs="宋体"/>
          <w:szCs w:val="24"/>
        </w:rPr>
        <w:t>。</w:t>
      </w:r>
    </w:p>
    <w:p>
      <w:pPr>
        <w:ind w:firstLine="480"/>
        <w:rPr>
          <w:rFonts w:ascii="宋体" w:hAnsi="宋体" w:cs="宋体"/>
          <w:szCs w:val="24"/>
        </w:rPr>
      </w:pPr>
      <w:r>
        <w:rPr>
          <w:rFonts w:hint="eastAsia" w:ascii="宋体" w:hAnsi="宋体" w:cs="宋体"/>
          <w:szCs w:val="24"/>
        </w:rPr>
        <w:t>2.</w:t>
      </w:r>
      <w:r>
        <w:rPr>
          <w:rFonts w:ascii="宋体" w:hAnsi="宋体" w:cs="宋体"/>
          <w:szCs w:val="24"/>
        </w:rPr>
        <w:t xml:space="preserve"> </w:t>
      </w:r>
      <w:r>
        <w:rPr>
          <w:rFonts w:hint="eastAsia" w:ascii="宋体" w:hAnsi="宋体" w:cs="宋体"/>
          <w:szCs w:val="24"/>
        </w:rPr>
        <w:t>交货/施工/服务地点：</w:t>
      </w:r>
      <w:r>
        <w:rPr>
          <w:rFonts w:hint="eastAsia" w:ascii="宋体" w:hAnsi="宋体" w:cs="宋体"/>
          <w:szCs w:val="24"/>
          <w:u w:val="single"/>
        </w:rPr>
        <w:t xml:space="preserve"> </w:t>
      </w:r>
      <w:r>
        <w:rPr>
          <w:rFonts w:ascii="宋体" w:hAnsi="宋体" w:cs="宋体"/>
          <w:szCs w:val="24"/>
          <w:u w:val="single"/>
        </w:rPr>
        <w:t xml:space="preserve">   </w:t>
      </w:r>
      <w:r>
        <w:rPr>
          <w:rFonts w:hint="eastAsia" w:ascii="宋体" w:hAnsi="宋体" w:cs="宋体"/>
          <w:szCs w:val="24"/>
          <w:u w:val="single"/>
          <w:lang w:val="en-US" w:eastAsia="zh-CN"/>
        </w:rPr>
        <w:t>华能汤阴一期、二期风电场</w:t>
      </w:r>
      <w:r>
        <w:rPr>
          <w:rFonts w:ascii="宋体" w:hAnsi="宋体" w:cs="宋体"/>
          <w:szCs w:val="24"/>
          <w:u w:val="single"/>
        </w:rPr>
        <w:t xml:space="preserve">      </w:t>
      </w:r>
      <w:r>
        <w:rPr>
          <w:rFonts w:hint="eastAsia" w:ascii="宋体" w:hAnsi="宋体" w:cs="宋体"/>
          <w:szCs w:val="24"/>
        </w:rPr>
        <w:t>。</w:t>
      </w:r>
    </w:p>
    <w:p>
      <w:pPr>
        <w:ind w:firstLine="480"/>
        <w:rPr>
          <w:rFonts w:ascii="宋体" w:hAnsi="宋体" w:cs="宋体"/>
          <w:szCs w:val="24"/>
        </w:rPr>
      </w:pPr>
      <w:r>
        <w:rPr>
          <w:rFonts w:hint="eastAsia" w:ascii="宋体" w:hAnsi="宋体" w:cs="宋体"/>
          <w:szCs w:val="24"/>
        </w:rPr>
        <w:t>3.</w:t>
      </w:r>
      <w:r>
        <w:rPr>
          <w:rFonts w:ascii="宋体" w:hAnsi="宋体" w:cs="宋体"/>
          <w:szCs w:val="24"/>
        </w:rPr>
        <w:t xml:space="preserve"> </w:t>
      </w:r>
      <w:r>
        <w:rPr>
          <w:rFonts w:hint="eastAsia" w:ascii="宋体" w:hAnsi="宋体" w:cs="宋体"/>
          <w:szCs w:val="24"/>
        </w:rPr>
        <w:t>采购内容：</w:t>
      </w:r>
      <w:r>
        <w:rPr>
          <w:rFonts w:hint="eastAsia" w:ascii="宋体" w:hAnsi="宋体" w:cs="宋体"/>
          <w:szCs w:val="24"/>
          <w:u w:val="single"/>
        </w:rPr>
        <w:t xml:space="preserve"> </w:t>
      </w:r>
      <w:r>
        <w:rPr>
          <w:rFonts w:ascii="宋体" w:hAnsi="宋体" w:cs="宋体"/>
          <w:szCs w:val="24"/>
          <w:u w:val="single"/>
        </w:rPr>
        <w:t xml:space="preserve"> </w:t>
      </w:r>
      <w:r>
        <w:rPr>
          <w:rFonts w:hint="eastAsia" w:ascii="宋体" w:hAnsi="宋体" w:cs="宋体"/>
          <w:szCs w:val="24"/>
          <w:u w:val="single"/>
        </w:rPr>
        <w:t>华能河南分公司清能公司汤阴区域运维中心电气类备件及耗材</w:t>
      </w:r>
      <w:r>
        <w:rPr>
          <w:rFonts w:hint="eastAsia" w:ascii="宋体" w:hAnsi="宋体" w:cs="宋体"/>
          <w:szCs w:val="24"/>
          <w:u w:val="single"/>
          <w:lang w:eastAsia="zh-CN"/>
        </w:rPr>
        <w:t>，</w:t>
      </w:r>
      <w:r>
        <w:rPr>
          <w:rFonts w:hint="eastAsia" w:ascii="宋体" w:hAnsi="宋体" w:cs="宋体"/>
          <w:szCs w:val="24"/>
          <w:u w:val="single"/>
          <w:lang w:val="en-US" w:eastAsia="zh-CN"/>
        </w:rPr>
        <w:t>详见第五章采购需求信息</w:t>
      </w:r>
      <w:r>
        <w:rPr>
          <w:rFonts w:ascii="宋体" w:hAnsi="宋体" w:cs="宋体"/>
          <w:szCs w:val="24"/>
          <w:u w:val="single"/>
        </w:rPr>
        <w:t xml:space="preserve">  </w:t>
      </w:r>
      <w:r>
        <w:rPr>
          <w:rFonts w:hint="eastAsia" w:ascii="宋体" w:hAnsi="宋体" w:cs="宋体"/>
          <w:szCs w:val="24"/>
        </w:rPr>
        <w:t>。</w:t>
      </w:r>
    </w:p>
    <w:p>
      <w:pPr>
        <w:ind w:firstLine="480"/>
        <w:rPr>
          <w:rFonts w:ascii="宋体" w:hAnsi="宋体" w:cs="宋体"/>
          <w:szCs w:val="24"/>
        </w:rPr>
      </w:pPr>
      <w:r>
        <w:rPr>
          <w:rFonts w:hint="eastAsia" w:ascii="宋体" w:hAnsi="宋体" w:cs="宋体"/>
          <w:szCs w:val="24"/>
        </w:rPr>
        <w:t>4.</w:t>
      </w:r>
      <w:r>
        <w:rPr>
          <w:rFonts w:ascii="宋体" w:hAnsi="宋体" w:cs="宋体"/>
          <w:szCs w:val="24"/>
        </w:rPr>
        <w:t xml:space="preserve"> </w:t>
      </w:r>
      <w:r>
        <w:rPr>
          <w:rFonts w:hint="eastAsia" w:ascii="宋体" w:hAnsi="宋体" w:cs="宋体"/>
          <w:szCs w:val="24"/>
        </w:rPr>
        <w:t>交货期/施工期/服务期：</w:t>
      </w:r>
      <w:r>
        <w:rPr>
          <w:rFonts w:hint="eastAsia" w:ascii="宋体" w:hAnsi="宋体" w:cs="宋体"/>
          <w:szCs w:val="24"/>
          <w:u w:val="single"/>
          <w:lang w:val="en-US" w:eastAsia="zh-CN"/>
        </w:rPr>
        <w:t>供货期限：合同签署生效后30个自然日内。若发生疫情，乙方须按照国家、河南省、项目所在地方及甲方疫情防控工作的相关要求做好防疫工作，并确保按甲方的要求如期完成供货。否则，由此给甲方带来的损失由乙方承担。</w:t>
      </w:r>
    </w:p>
    <w:p>
      <w:pPr>
        <w:ind w:firstLine="480"/>
        <w:rPr>
          <w:rFonts w:ascii="宋体" w:hAnsi="宋体" w:cs="宋体"/>
          <w:szCs w:val="24"/>
        </w:rPr>
      </w:pPr>
      <w:r>
        <w:rPr>
          <w:rFonts w:hint="eastAsia" w:ascii="宋体" w:hAnsi="宋体" w:cs="宋体"/>
          <w:szCs w:val="24"/>
        </w:rPr>
        <w:t>5</w:t>
      </w:r>
      <w:r>
        <w:rPr>
          <w:rFonts w:ascii="宋体" w:hAnsi="宋体" w:cs="宋体"/>
          <w:szCs w:val="24"/>
        </w:rPr>
        <w:t xml:space="preserve">. </w:t>
      </w:r>
      <w:r>
        <w:rPr>
          <w:rFonts w:hint="eastAsia" w:ascii="宋体" w:hAnsi="宋体" w:cs="宋体"/>
          <w:szCs w:val="24"/>
        </w:rPr>
        <w:t>其他需要说明内容：</w:t>
      </w:r>
      <w:r>
        <w:rPr>
          <w:rFonts w:hint="eastAsia" w:ascii="宋体" w:hAnsi="宋体" w:cs="宋体"/>
          <w:szCs w:val="24"/>
          <w:highlight w:val="green"/>
          <w:u w:val="single"/>
          <w:lang w:val="en-US" w:eastAsia="zh-CN"/>
        </w:rPr>
        <w:t>供应商报价即视为完全响应采购方采购需求及技术规范书要求，严禁盲目报价</w:t>
      </w:r>
      <w:r>
        <w:rPr>
          <w:rFonts w:ascii="宋体" w:hAnsi="宋体" w:cs="宋体"/>
          <w:szCs w:val="24"/>
          <w:highlight w:val="green"/>
          <w:u w:val="single"/>
        </w:rPr>
        <w:t xml:space="preserve"> </w:t>
      </w:r>
      <w:r>
        <w:rPr>
          <w:rFonts w:hint="eastAsia" w:ascii="宋体" w:hAnsi="宋体" w:cs="宋体"/>
          <w:szCs w:val="24"/>
          <w:highlight w:val="green"/>
        </w:rPr>
        <w:t>。</w:t>
      </w:r>
    </w:p>
    <w:p>
      <w:pPr>
        <w:pStyle w:val="4"/>
        <w:spacing w:before="156"/>
      </w:pPr>
      <w:r>
        <w:rPr>
          <w:rFonts w:hint="eastAsia"/>
        </w:rPr>
        <w:t>二、报价须知</w:t>
      </w:r>
    </w:p>
    <w:p>
      <w:pPr>
        <w:ind w:firstLine="480"/>
      </w:pPr>
      <w:r>
        <w:t xml:space="preserve">1. </w:t>
      </w:r>
      <w:r>
        <w:rPr>
          <w:rFonts w:hint="eastAsia"/>
        </w:rPr>
        <w:t>供应商资格要求：</w:t>
      </w:r>
    </w:p>
    <w:p>
      <w:pPr>
        <w:ind w:firstLine="480"/>
        <w:jc w:val="left"/>
      </w:pPr>
      <w:r>
        <w:rPr>
          <w:rFonts w:hint="eastAsia"/>
        </w:rPr>
        <w:t>（1）供应商须为华能集团供应商库内合格供应商，且未处于暂停参加采购活动的处罚期限内，满足供应商参与业务的权限。</w:t>
      </w:r>
    </w:p>
    <w:p>
      <w:pPr>
        <w:ind w:firstLine="480"/>
        <w:jc w:val="left"/>
      </w:pPr>
      <w:r>
        <w:rPr>
          <w:rFonts w:hint="eastAsia"/>
        </w:rPr>
        <w:t>（</w:t>
      </w:r>
      <w:r>
        <w:t>2</w:t>
      </w:r>
      <w:r>
        <w:rPr>
          <w:rFonts w:hint="eastAsia"/>
        </w:rPr>
        <w:t>）近三年没有严重违约，没有经鉴定部门认定的因其产品/服务/工程引起的重大及以上质量事故或重大及以上安全事故；</w:t>
      </w:r>
    </w:p>
    <w:p>
      <w:pPr>
        <w:ind w:firstLine="480"/>
        <w:jc w:val="left"/>
      </w:pPr>
      <w:r>
        <w:rPr>
          <w:rFonts w:hint="eastAsia"/>
        </w:rPr>
        <w:t>（</w:t>
      </w:r>
      <w:r>
        <w:t>3</w:t>
      </w:r>
      <w:r>
        <w:rPr>
          <w:rFonts w:hint="eastAsia"/>
        </w:rPr>
        <w:t>）未被市场监督管理部门在全国企业信用信息公示系统中列入经营异常名录或者严重违法企业名单；</w:t>
      </w:r>
    </w:p>
    <w:p>
      <w:pPr>
        <w:ind w:firstLine="480"/>
        <w:jc w:val="left"/>
      </w:pPr>
      <w:r>
        <w:rPr>
          <w:rFonts w:hint="eastAsia"/>
        </w:rPr>
        <w:t>（</w:t>
      </w:r>
      <w:r>
        <w:t>4</w:t>
      </w:r>
      <w:r>
        <w:rPr>
          <w:rFonts w:hint="eastAsia"/>
        </w:rPr>
        <w:t>）未被最高人民法院在“信用中国”网站（www.creditchina.gov.cn）或各级信用信息共享平台中列入失信被执行人名单；</w:t>
      </w:r>
    </w:p>
    <w:p>
      <w:pPr>
        <w:ind w:firstLine="480"/>
        <w:jc w:val="left"/>
      </w:pPr>
      <w:r>
        <w:rPr>
          <w:rFonts w:hint="eastAsia"/>
        </w:rPr>
        <w:t>（</w:t>
      </w:r>
      <w:r>
        <w:t>5</w:t>
      </w:r>
      <w:r>
        <w:rPr>
          <w:rFonts w:hint="eastAsia"/>
        </w:rPr>
        <w:t>）不存在不同供应商的响应文件的互联网协议地址（</w:t>
      </w:r>
      <w:r>
        <w:t>IP</w:t>
      </w:r>
      <w:r>
        <w:rPr>
          <w:rFonts w:hint="eastAsia"/>
        </w:rPr>
        <w:t>地址）信息检查一致的情况。</w:t>
      </w:r>
    </w:p>
    <w:p>
      <w:pPr>
        <w:ind w:firstLine="480"/>
        <w:jc w:val="left"/>
      </w:pPr>
      <w:r>
        <w:rPr>
          <w:rFonts w:hint="eastAsia"/>
        </w:rPr>
        <w:t>（6） 与采购人存在利害关系可能影响采购公正性的法人、其他组织或者个人，不得参加询价；单位负责人为同一人或者存在控股、管理关系的不同单位，不得参加同一询价项目。</w:t>
      </w:r>
    </w:p>
    <w:p>
      <w:pPr>
        <w:ind w:firstLine="480"/>
        <w:jc w:val="left"/>
      </w:pPr>
      <w:r>
        <w:rPr>
          <w:rFonts w:hint="eastAsia"/>
        </w:rPr>
        <w:t>（</w:t>
      </w:r>
      <w:r>
        <w:t>7</w:t>
      </w:r>
      <w:r>
        <w:rPr>
          <w:rFonts w:hint="eastAsia"/>
        </w:rPr>
        <w:t>）不存在违反国家相关法规和华能集团相关制度的情况。</w:t>
      </w:r>
    </w:p>
    <w:p>
      <w:pPr>
        <w:ind w:firstLine="480"/>
      </w:pPr>
      <w:r>
        <w:t xml:space="preserve">2. </w:t>
      </w:r>
      <w:r>
        <w:rPr>
          <w:rFonts w:hint="eastAsia"/>
        </w:rPr>
        <w:t>报价要求：</w:t>
      </w:r>
    </w:p>
    <w:p>
      <w:pPr>
        <w:ind w:firstLine="480"/>
        <w:rPr>
          <w:u w:val="single"/>
        </w:rPr>
      </w:pPr>
      <w:r>
        <w:rPr>
          <w:rFonts w:hint="eastAsia"/>
        </w:rPr>
        <w:t>本次报价要求为</w:t>
      </w:r>
      <w:r>
        <w:rPr>
          <w:rFonts w:hint="eastAsia"/>
          <w:u w:val="single"/>
        </w:rPr>
        <w:sym w:font="Wingdings 2" w:char="0052"/>
      </w:r>
      <w:r>
        <w:rPr>
          <w:rFonts w:hint="eastAsia"/>
          <w:u w:val="single"/>
        </w:rPr>
        <w:t>含税价/□不含税价</w:t>
      </w:r>
      <w:r>
        <w:rPr>
          <w:rFonts w:hint="eastAsia"/>
        </w:rPr>
        <w:t>，需提供增值税发票类型：</w:t>
      </w:r>
      <w:r>
        <w:rPr>
          <w:rFonts w:hint="eastAsia"/>
          <w:u w:val="single"/>
        </w:rPr>
        <w:sym w:font="Wingdings 2" w:char="0052"/>
      </w:r>
      <w:r>
        <w:rPr>
          <w:rFonts w:hint="eastAsia"/>
          <w:u w:val="single"/>
        </w:rPr>
        <w:t>专用/□普通/□不作要求</w:t>
      </w:r>
      <w:r>
        <w:rPr>
          <w:rFonts w:hint="eastAsia"/>
        </w:rPr>
        <w:t>，税率要求：</w:t>
      </w:r>
      <w:r>
        <w:rPr>
          <w:u w:val="single"/>
        </w:rPr>
        <w:t xml:space="preserve"> </w:t>
      </w:r>
      <w:r>
        <w:rPr>
          <w:rFonts w:hint="eastAsia"/>
          <w:u w:val="single"/>
          <w:lang w:val="en-US" w:eastAsia="zh-CN"/>
        </w:rPr>
        <w:t>13</w:t>
      </w:r>
      <w:r>
        <w:rPr>
          <w:u w:val="single"/>
        </w:rPr>
        <w:t xml:space="preserve"> %</w:t>
      </w:r>
      <w:r>
        <w:rPr>
          <w:rFonts w:hint="eastAsia"/>
        </w:rPr>
        <w:t>。</w:t>
      </w:r>
    </w:p>
    <w:p>
      <w:pPr>
        <w:ind w:firstLine="480"/>
      </w:pPr>
      <w:r>
        <w:t xml:space="preserve">3. </w:t>
      </w:r>
      <w:r>
        <w:rPr>
          <w:rFonts w:hint="eastAsia"/>
        </w:rPr>
        <w:t>价格评审：</w:t>
      </w:r>
    </w:p>
    <w:p>
      <w:pPr>
        <w:ind w:firstLine="480"/>
      </w:pPr>
      <w:r>
        <w:rPr>
          <w:rFonts w:hint="eastAsia"/>
        </w:rPr>
        <w:sym w:font="Wingdings 2" w:char="0052"/>
      </w:r>
      <w:r>
        <w:rPr>
          <w:rFonts w:hint="eastAsia"/>
        </w:rPr>
        <w:t>以含税总价进行评审。</w:t>
      </w:r>
    </w:p>
    <w:p>
      <w:pPr>
        <w:ind w:firstLine="480"/>
      </w:pPr>
      <w:r>
        <w:rPr>
          <w:rFonts w:hint="eastAsia"/>
        </w:rPr>
        <w:t>□其他：</w:t>
      </w:r>
      <w:r>
        <w:rPr>
          <w:rFonts w:hint="eastAsia"/>
          <w:u w:val="single"/>
        </w:rPr>
        <w:t xml:space="preserve"> </w:t>
      </w:r>
      <w:r>
        <w:rPr>
          <w:u w:val="single"/>
        </w:rPr>
        <w:t xml:space="preserve">                                  </w:t>
      </w:r>
      <w:r>
        <w:rPr>
          <w:rFonts w:hint="eastAsia"/>
        </w:rPr>
        <w:t>。</w:t>
      </w:r>
    </w:p>
    <w:p>
      <w:pPr>
        <w:ind w:firstLine="480"/>
      </w:pPr>
      <w:r>
        <w:t xml:space="preserve">4. </w:t>
      </w:r>
      <w:r>
        <w:rPr>
          <w:rFonts w:hint="eastAsia"/>
        </w:rPr>
        <w:t>成交候选供应商推荐原则：本项目评审办法采用最低价法。按照供应商报价由低到高的顺序依次推荐成交候选供应商。若价格相同，按照提交报价时间由先到后顺序推荐成交候选供应商。</w:t>
      </w:r>
    </w:p>
    <w:p>
      <w:pPr>
        <w:ind w:firstLine="480"/>
      </w:pPr>
      <w:r>
        <w:rPr>
          <w:rFonts w:hint="eastAsia"/>
        </w:rPr>
        <w:t>本项目</w:t>
      </w:r>
      <w:r>
        <w:rPr>
          <w:rFonts w:hint="eastAsia"/>
        </w:rPr>
        <w:sym w:font="Wingdings" w:char="F0FE"/>
      </w:r>
      <w:r>
        <w:rPr>
          <w:rFonts w:hint="eastAsia"/>
        </w:rPr>
        <w:t>只能有一个成交供应商；</w:t>
      </w:r>
    </w:p>
    <w:p>
      <w:pPr>
        <w:ind w:firstLine="1200" w:firstLineChars="500"/>
        <w:rPr>
          <w:rFonts w:ascii="宋体" w:hAnsi="宋体" w:cs="宋体"/>
          <w:szCs w:val="24"/>
        </w:rPr>
      </w:pPr>
      <w:r>
        <w:rPr>
          <w:rFonts w:hint="eastAsia"/>
        </w:rPr>
        <w:t>□允许多个成交供应商，成交原则是</w:t>
      </w:r>
      <w:r>
        <w:rPr>
          <w:rFonts w:hint="eastAsia"/>
          <w:u w:val="single"/>
        </w:rPr>
        <w:t xml:space="preserve"> □单行单价最低推荐成交候选供应商/</w:t>
      </w:r>
      <w:r>
        <w:rPr>
          <w:u w:val="single"/>
        </w:rPr>
        <w:t xml:space="preserve"> </w:t>
      </w:r>
      <w:r>
        <w:rPr>
          <w:rFonts w:hint="eastAsia"/>
          <w:u w:val="single"/>
        </w:rPr>
        <w:t>□其他：</w:t>
      </w:r>
      <w:r>
        <w:rPr>
          <w:u w:val="single"/>
        </w:rPr>
        <w:t xml:space="preserve">                 </w:t>
      </w:r>
      <w:r>
        <w:rPr>
          <w:rFonts w:hint="eastAsia" w:ascii="宋体" w:hAnsi="宋体" w:cs="宋体"/>
          <w:szCs w:val="24"/>
        </w:rPr>
        <w:t>。</w:t>
      </w:r>
    </w:p>
    <w:p>
      <w:pPr>
        <w:ind w:firstLine="480"/>
      </w:pPr>
      <w:r>
        <w:t>5.</w:t>
      </w:r>
      <w:r>
        <w:rPr>
          <w:rFonts w:hint="eastAsia"/>
        </w:rPr>
        <w:t>本项目</w:t>
      </w:r>
      <w:r>
        <w:rPr>
          <w:rFonts w:hint="eastAsia"/>
          <w:u w:val="single"/>
        </w:rPr>
        <w:t>□是 /</w:t>
      </w:r>
      <w:r>
        <w:rPr>
          <w:u w:val="single"/>
        </w:rPr>
        <w:t xml:space="preserve"> </w:t>
      </w:r>
      <w:r>
        <w:rPr>
          <w:rFonts w:hint="eastAsia"/>
          <w:u w:val="single"/>
        </w:rPr>
        <w:sym w:font="Wingdings 2" w:char="0052"/>
      </w:r>
      <w:r>
        <w:rPr>
          <w:rFonts w:hint="eastAsia"/>
          <w:u w:val="single"/>
        </w:rPr>
        <w:t>不是</w:t>
      </w:r>
      <w:r>
        <w:rPr>
          <w:rFonts w:hint="eastAsia"/>
        </w:rPr>
        <w:t>采购代理项目，收取采购代理服务费，收费标准：</w:t>
      </w:r>
      <w:r>
        <w:rPr>
          <w:rFonts w:hint="eastAsia"/>
          <w:u w:val="single"/>
        </w:rPr>
        <w:t xml:space="preserve">□参照国家计委印发的《招标代理服务收费管理暂行办法》规定的计费原则100%标准计取/□其他： </w:t>
      </w:r>
      <w:r>
        <w:rPr>
          <w:u w:val="single"/>
        </w:rPr>
        <w:t xml:space="preserve">                       </w:t>
      </w:r>
      <w:r>
        <w:rPr>
          <w:rFonts w:hint="eastAsia"/>
          <w:u w:val="single"/>
        </w:rPr>
        <w:t xml:space="preserve"> </w:t>
      </w:r>
      <w:r>
        <w:rPr>
          <w:rFonts w:hint="eastAsia"/>
        </w:rPr>
        <w:t>。</w:t>
      </w:r>
    </w:p>
    <w:p>
      <w:pPr>
        <w:pStyle w:val="4"/>
        <w:spacing w:before="156"/>
      </w:pPr>
      <w:r>
        <w:rPr>
          <w:rFonts w:hint="eastAsia"/>
        </w:rPr>
        <w:t>三、</w:t>
      </w:r>
      <w:r>
        <w:t>基本信息</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13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采购方案名称</w:t>
            </w:r>
          </w:p>
        </w:tc>
        <w:tc>
          <w:tcPr>
            <w:tcW w:w="2311" w:type="dxa"/>
            <w:shd w:val="clear" w:color="auto" w:fill="auto"/>
            <w:vAlign w:val="center"/>
          </w:tcPr>
          <w:p>
            <w:pPr>
              <w:widowControl/>
              <w:spacing w:line="240" w:lineRule="auto"/>
              <w:ind w:left="0" w:leftChars="0" w:firstLine="0" w:firstLineChars="0"/>
              <w:jc w:val="both"/>
              <w:rPr>
                <w:rFonts w:hint="eastAsia" w:ascii="宋体" w:hAnsi="宋体" w:eastAsia="宋体" w:cs="宋体"/>
                <w:sz w:val="21"/>
                <w:szCs w:val="21"/>
                <w:lang w:eastAsia="zh-CN"/>
              </w:rPr>
            </w:pPr>
            <w:r>
              <w:rPr>
                <w:rFonts w:hint="eastAsia" w:ascii="宋体" w:hAnsi="宋体" w:cs="宋体"/>
                <w:sz w:val="21"/>
                <w:szCs w:val="21"/>
                <w:lang w:eastAsia="zh-CN"/>
              </w:rPr>
              <w:t>华能河南清洁能源分公司汤阴区域运维中心风电场物资采购</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采购单位</w:t>
            </w:r>
          </w:p>
        </w:tc>
        <w:tc>
          <w:tcPr>
            <w:tcW w:w="2311" w:type="dxa"/>
            <w:shd w:val="clear" w:color="auto" w:fill="auto"/>
            <w:vAlign w:val="center"/>
          </w:tcPr>
          <w:p>
            <w:pPr>
              <w:widowControl/>
              <w:spacing w:line="240" w:lineRule="auto"/>
              <w:ind w:left="0" w:leftChars="0" w:firstLine="0" w:firstLineChars="0"/>
              <w:jc w:val="both"/>
              <w:rPr>
                <w:rFonts w:ascii="宋体" w:hAnsi="宋体" w:cs="宋体"/>
                <w:sz w:val="21"/>
                <w:szCs w:val="21"/>
              </w:rPr>
            </w:pPr>
            <w:r>
              <w:rPr>
                <w:rFonts w:hint="eastAsia" w:ascii="宋体" w:hAnsi="宋体" w:cs="宋体"/>
                <w:sz w:val="21"/>
                <w:szCs w:val="21"/>
              </w:rPr>
              <w:t>华能安阳能源有限责任公司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采购项目类型</w:t>
            </w:r>
          </w:p>
        </w:tc>
        <w:tc>
          <w:tcPr>
            <w:tcW w:w="2311" w:type="dxa"/>
            <w:shd w:val="clear" w:color="auto" w:fill="auto"/>
            <w:vAlign w:val="center"/>
          </w:tcPr>
          <w:p>
            <w:pPr>
              <w:widowControl/>
              <w:spacing w:line="240" w:lineRule="auto"/>
              <w:ind w:left="0" w:leftChars="0" w:firstLine="0" w:firstLineChars="0"/>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物资</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采购项目类别</w:t>
            </w:r>
          </w:p>
        </w:tc>
        <w:tc>
          <w:tcPr>
            <w:tcW w:w="2311" w:type="dxa"/>
            <w:shd w:val="clear" w:color="auto" w:fill="auto"/>
            <w:vAlign w:val="center"/>
          </w:tcPr>
          <w:p>
            <w:pPr>
              <w:widowControl/>
              <w:spacing w:line="240" w:lineRule="auto"/>
              <w:ind w:firstLine="42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工程项目编号</w:t>
            </w:r>
          </w:p>
        </w:tc>
        <w:tc>
          <w:tcPr>
            <w:tcW w:w="2311" w:type="dxa"/>
            <w:shd w:val="clear" w:color="auto" w:fill="auto"/>
            <w:vAlign w:val="center"/>
          </w:tcPr>
          <w:p>
            <w:pPr>
              <w:spacing w:line="240" w:lineRule="auto"/>
              <w:ind w:firstLine="420"/>
              <w:jc w:val="center"/>
              <w:rPr>
                <w:rFonts w:ascii="宋体" w:hAnsi="宋体" w:cs="宋体"/>
                <w:sz w:val="21"/>
                <w:szCs w:val="21"/>
              </w:rPr>
            </w:pP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工程项目名称</w:t>
            </w:r>
          </w:p>
        </w:tc>
        <w:tc>
          <w:tcPr>
            <w:tcW w:w="2311" w:type="dxa"/>
            <w:shd w:val="clear" w:color="auto" w:fill="auto"/>
            <w:vAlign w:val="center"/>
          </w:tcPr>
          <w:p>
            <w:pPr>
              <w:widowControl/>
              <w:spacing w:line="240" w:lineRule="auto"/>
              <w:ind w:firstLine="42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寻源类型</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询价</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寻源方式</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合格供应商公开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评价原则</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最低价法</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是否紧急采购</w:t>
            </w:r>
          </w:p>
        </w:tc>
        <w:tc>
          <w:tcPr>
            <w:tcW w:w="2311" w:type="dxa"/>
            <w:shd w:val="clear" w:color="auto" w:fill="auto"/>
            <w:vAlign w:val="center"/>
          </w:tcPr>
          <w:p>
            <w:pPr>
              <w:widowControl/>
              <w:spacing w:line="240" w:lineRule="auto"/>
              <w:ind w:firstLine="420"/>
              <w:jc w:val="center"/>
              <w:rPr>
                <w:rFonts w:ascii="宋体" w:hAnsi="宋体" w:cs="宋体"/>
                <w:sz w:val="21"/>
                <w:szCs w:val="21"/>
              </w:rPr>
            </w:pPr>
          </w:p>
        </w:tc>
      </w:tr>
    </w:tbl>
    <w:p>
      <w:pPr>
        <w:pStyle w:val="4"/>
        <w:spacing w:before="156"/>
      </w:pPr>
      <w:r>
        <w:rPr>
          <w:rFonts w:hint="eastAsia"/>
        </w:rPr>
        <w:t>四、</w:t>
      </w:r>
      <w:r>
        <w:t>报价要求</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2109"/>
        <w:gridCol w:w="2154"/>
        <w:gridCol w:w="2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结算币种</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人民币</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highlight w:val="yellow"/>
              </w:rPr>
            </w:pPr>
            <w:r>
              <w:rPr>
                <w:rFonts w:hint="eastAsia" w:ascii="宋体" w:hAnsi="宋体" w:cs="宋体"/>
                <w:kern w:val="0"/>
                <w:sz w:val="21"/>
                <w:szCs w:val="21"/>
              </w:rPr>
              <w:t>报价截止前是否允许 供应商修改报价</w:t>
            </w:r>
          </w:p>
        </w:tc>
        <w:tc>
          <w:tcPr>
            <w:tcW w:w="2311" w:type="dxa"/>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highlight w:val="yellow"/>
                <w:lang w:val="en-US" w:eastAsia="zh-CN"/>
              </w:rPr>
            </w:pPr>
            <w:r>
              <w:rPr>
                <w:rFonts w:hint="eastAsia" w:ascii="宋体" w:hAnsi="宋体" w:cs="宋体"/>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是否缴纳保证金</w:t>
            </w:r>
          </w:p>
        </w:tc>
        <w:tc>
          <w:tcPr>
            <w:tcW w:w="2311" w:type="dxa"/>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否</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保证金金额（元）</w:t>
            </w:r>
          </w:p>
        </w:tc>
        <w:tc>
          <w:tcPr>
            <w:tcW w:w="2311" w:type="dxa"/>
            <w:shd w:val="clear" w:color="auto" w:fill="auto"/>
            <w:vAlign w:val="center"/>
          </w:tcPr>
          <w:p>
            <w:pPr>
              <w:spacing w:line="240" w:lineRule="auto"/>
              <w:ind w:firstLine="420"/>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报价开始时间</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以电子商务平台显示的为准</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报价截止时间</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lang w:val="en-US" w:eastAsia="zh-CN"/>
              </w:rPr>
              <w:t>以电子商务平台显示的为准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答疑／澄清时间</w:t>
            </w:r>
          </w:p>
        </w:tc>
        <w:tc>
          <w:tcPr>
            <w:tcW w:w="6933" w:type="dxa"/>
            <w:gridSpan w:val="3"/>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lang w:val="en-US" w:eastAsia="zh-CN"/>
              </w:rPr>
              <w:t>以电子商务平台显示的为准</w:t>
            </w:r>
          </w:p>
        </w:tc>
      </w:tr>
    </w:tbl>
    <w:p>
      <w:pPr>
        <w:pStyle w:val="4"/>
        <w:spacing w:before="156"/>
      </w:pPr>
      <w:r>
        <w:rPr>
          <w:rFonts w:hint="eastAsia"/>
        </w:rPr>
        <w:t>五、采购需求</w:t>
      </w:r>
      <w:r>
        <w:t>信息</w:t>
      </w:r>
    </w:p>
    <w:tbl>
      <w:tblPr>
        <w:tblStyle w:val="11"/>
        <w:tblW w:w="5458" w:type="pct"/>
        <w:jc w:val="center"/>
        <w:tblLayout w:type="fixed"/>
        <w:tblCellMar>
          <w:top w:w="0" w:type="dxa"/>
          <w:left w:w="108" w:type="dxa"/>
          <w:bottom w:w="0" w:type="dxa"/>
          <w:right w:w="108" w:type="dxa"/>
        </w:tblCellMar>
      </w:tblPr>
      <w:tblGrid>
        <w:gridCol w:w="622"/>
        <w:gridCol w:w="1134"/>
        <w:gridCol w:w="1696"/>
        <w:gridCol w:w="1591"/>
        <w:gridCol w:w="2818"/>
        <w:gridCol w:w="587"/>
        <w:gridCol w:w="856"/>
      </w:tblGrid>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黑体" w:hAnsi="黑体" w:eastAsia="黑体" w:cs="黑体"/>
                <w:color w:val="000000"/>
                <w:kern w:val="0"/>
                <w:sz w:val="18"/>
                <w:szCs w:val="18"/>
                <w:lang w:val="en-US" w:eastAsia="zh-CN" w:bidi="ar"/>
              </w:rPr>
            </w:pPr>
            <w:r>
              <w:rPr>
                <w:rFonts w:hint="eastAsia" w:ascii="黑体" w:hAnsi="黑体" w:eastAsia="黑体" w:cs="黑体"/>
                <w:color w:val="000000"/>
                <w:kern w:val="0"/>
                <w:sz w:val="18"/>
                <w:szCs w:val="18"/>
                <w:lang w:bidi="ar"/>
              </w:rPr>
              <w:t>序号</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default" w:ascii="黑体" w:hAnsi="黑体" w:eastAsia="黑体" w:cs="黑体"/>
                <w:color w:val="000000"/>
                <w:kern w:val="0"/>
                <w:sz w:val="18"/>
                <w:szCs w:val="18"/>
                <w:lang w:val="en-US" w:eastAsia="zh-CN" w:bidi="ar"/>
              </w:rPr>
            </w:pPr>
            <w:r>
              <w:rPr>
                <w:rFonts w:hint="eastAsia" w:ascii="黑体" w:hAnsi="黑体" w:eastAsia="黑体" w:cs="黑体"/>
                <w:color w:val="000000"/>
                <w:kern w:val="0"/>
                <w:sz w:val="18"/>
                <w:szCs w:val="18"/>
                <w:lang w:val="en-US" w:eastAsia="zh-CN" w:bidi="ar"/>
              </w:rPr>
              <w:t>物料编码</w:t>
            </w:r>
          </w:p>
        </w:tc>
        <w:tc>
          <w:tcPr>
            <w:tcW w:w="91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物资名称</w:t>
            </w: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规格型号</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主要参数</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单位</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数量</w:t>
            </w:r>
          </w:p>
        </w:tc>
      </w:tr>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cs="宋体"/>
                <w:color w:val="000000"/>
                <w:kern w:val="0"/>
                <w:sz w:val="18"/>
                <w:szCs w:val="18"/>
                <w:lang w:val="en-US" w:eastAsia="zh-CN" w:bidi="ar"/>
              </w:rPr>
            </w:pPr>
            <w:r>
              <w:rPr>
                <w:rFonts w:hint="default" w:ascii="宋体" w:hAnsi="宋体" w:cs="宋体"/>
                <w:color w:val="000000"/>
                <w:kern w:val="0"/>
                <w:sz w:val="18"/>
                <w:szCs w:val="18"/>
                <w:lang w:val="en-US" w:eastAsia="zh-CN" w:bidi="ar"/>
              </w:rPr>
              <w:t>102519676</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val="en-US" w:eastAsia="zh-CN" w:bidi="ar"/>
              </w:rPr>
              <w:t>箱变</w:t>
            </w:r>
            <w:r>
              <w:rPr>
                <w:rFonts w:hint="eastAsia" w:ascii="宋体" w:hAnsi="宋体" w:cs="宋体"/>
                <w:color w:val="000000"/>
                <w:kern w:val="0"/>
                <w:sz w:val="18"/>
                <w:szCs w:val="18"/>
                <w:lang w:bidi="ar"/>
              </w:rPr>
              <w:t>U</w:t>
            </w:r>
            <w:r>
              <w:rPr>
                <w:rFonts w:ascii="宋体" w:hAnsi="宋体" w:cs="宋体"/>
                <w:color w:val="000000"/>
                <w:kern w:val="0"/>
                <w:sz w:val="18"/>
                <w:szCs w:val="18"/>
                <w:lang w:bidi="ar"/>
              </w:rPr>
              <w:t>PS</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SP2K</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输入：220-240V</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AC</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，50/60Hz,9.1A</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输出：220-240V</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AC</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,50/60Hz</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容量：2000VA/1600W</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台</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5</w:t>
            </w:r>
          </w:p>
        </w:tc>
      </w:tr>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bidi="ar"/>
              </w:rPr>
              <w:t>2</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cs="宋体"/>
                <w:color w:val="000000"/>
                <w:kern w:val="0"/>
                <w:sz w:val="18"/>
                <w:szCs w:val="18"/>
                <w:lang w:val="en-US" w:eastAsia="zh-CN" w:bidi="ar"/>
              </w:rPr>
            </w:pPr>
            <w:r>
              <w:rPr>
                <w:rFonts w:hint="default" w:ascii="宋体" w:hAnsi="宋体" w:cs="宋体"/>
                <w:color w:val="000000"/>
                <w:kern w:val="0"/>
                <w:sz w:val="18"/>
                <w:szCs w:val="18"/>
                <w:lang w:val="en-US" w:eastAsia="zh-CN" w:bidi="ar"/>
              </w:rPr>
              <w:t>102508798</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val="en-US" w:eastAsia="zh-CN" w:bidi="ar"/>
              </w:rPr>
              <w:t>箱变</w:t>
            </w:r>
            <w:r>
              <w:rPr>
                <w:rFonts w:hint="eastAsia" w:ascii="宋体" w:hAnsi="宋体" w:cs="宋体"/>
                <w:color w:val="000000"/>
                <w:kern w:val="0"/>
                <w:sz w:val="18"/>
                <w:szCs w:val="18"/>
                <w:lang w:bidi="ar"/>
              </w:rPr>
              <w:t>限流熔断器</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eastAsia="zh-CN" w:bidi="ar"/>
              </w:rPr>
            </w:pPr>
            <w:r>
              <w:rPr>
                <w:rFonts w:ascii="宋体" w:hAnsi="宋体" w:cs="宋体"/>
                <w:color w:val="000000"/>
                <w:kern w:val="0"/>
                <w:sz w:val="18"/>
                <w:szCs w:val="18"/>
                <w:lang w:bidi="ar"/>
              </w:rPr>
              <w:t>XRNT-40.5KV/80A-31.5KA</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lang w:val="en-US" w:eastAsia="zh-CN" w:bidi="ar"/>
              </w:rPr>
              <w:t>变压器保护用；长度约67.5cm；额定电压40.5kV；额定电流80A；额定开断电流31.5kA；适配山东泰开箱变有限公司S11-2750/35/0.69-2750箱变</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个</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r>
              <w:rPr>
                <w:rFonts w:ascii="宋体" w:hAnsi="宋体" w:cs="宋体"/>
                <w:color w:val="000000"/>
                <w:kern w:val="0"/>
                <w:sz w:val="18"/>
                <w:szCs w:val="18"/>
                <w:lang w:bidi="ar"/>
              </w:rPr>
              <w:t>4</w:t>
            </w:r>
          </w:p>
        </w:tc>
      </w:tr>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bidi="ar"/>
              </w:rPr>
              <w:t>3</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cs="宋体"/>
                <w:color w:val="000000"/>
                <w:kern w:val="0"/>
                <w:sz w:val="18"/>
                <w:szCs w:val="18"/>
                <w:lang w:val="en-US" w:eastAsia="zh-CN" w:bidi="ar"/>
              </w:rPr>
            </w:pPr>
            <w:r>
              <w:rPr>
                <w:rFonts w:hint="default" w:ascii="宋体" w:hAnsi="宋体" w:cs="宋体"/>
                <w:color w:val="000000"/>
                <w:kern w:val="0"/>
                <w:sz w:val="18"/>
                <w:szCs w:val="18"/>
                <w:lang w:val="en-US" w:eastAsia="zh-CN" w:bidi="ar"/>
              </w:rPr>
              <w:t>101850182</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val="en-US" w:eastAsia="zh-CN" w:bidi="ar"/>
              </w:rPr>
              <w:t>35kV母线PT一次</w:t>
            </w:r>
            <w:r>
              <w:rPr>
                <w:rFonts w:hint="eastAsia" w:ascii="宋体" w:hAnsi="宋体" w:cs="宋体"/>
                <w:color w:val="000000"/>
                <w:kern w:val="0"/>
                <w:sz w:val="18"/>
                <w:szCs w:val="18"/>
                <w:lang w:bidi="ar"/>
              </w:rPr>
              <w:t>熔断器</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eastAsia="zh-CN" w:bidi="ar"/>
              </w:rPr>
            </w:pPr>
            <w:r>
              <w:rPr>
                <w:rFonts w:ascii="宋体" w:hAnsi="宋体" w:cs="宋体"/>
                <w:color w:val="000000"/>
                <w:kern w:val="0"/>
                <w:sz w:val="18"/>
                <w:szCs w:val="18"/>
                <w:highlight w:val="none"/>
                <w:lang w:bidi="ar"/>
              </w:rPr>
              <w:t>XRNP1 35-40.5kV/0.5A</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val="en-US" w:eastAsia="zh-CN" w:bidi="ar"/>
              </w:rPr>
              <w:t>电压互感器保护用；额定电压范围35-40.5kV；额定电流0.5A；额定开断电流</w:t>
            </w:r>
            <w:r>
              <w:rPr>
                <w:rFonts w:ascii="宋体" w:hAnsi="宋体" w:cs="宋体"/>
                <w:color w:val="000000"/>
                <w:kern w:val="0"/>
                <w:sz w:val="18"/>
                <w:szCs w:val="18"/>
                <w:highlight w:val="none"/>
                <w:lang w:bidi="ar"/>
              </w:rPr>
              <w:t>50</w:t>
            </w:r>
            <w:r>
              <w:rPr>
                <w:rFonts w:hint="eastAsia" w:ascii="宋体" w:hAnsi="宋体" w:cs="宋体"/>
                <w:color w:val="000000"/>
                <w:kern w:val="0"/>
                <w:sz w:val="18"/>
                <w:szCs w:val="18"/>
                <w:highlight w:val="none"/>
                <w:lang w:val="en-US" w:eastAsia="zh-CN" w:bidi="ar"/>
              </w:rPr>
              <w:t>k</w:t>
            </w:r>
            <w:r>
              <w:rPr>
                <w:rFonts w:ascii="宋体" w:hAnsi="宋体" w:cs="宋体"/>
                <w:color w:val="000000"/>
                <w:kern w:val="0"/>
                <w:sz w:val="18"/>
                <w:szCs w:val="18"/>
                <w:highlight w:val="none"/>
                <w:lang w:bidi="ar"/>
              </w:rPr>
              <w:t>A</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lang w:val="en-US" w:eastAsia="zh-CN" w:bidi="ar"/>
              </w:rPr>
              <w:t>长约46.5cm，直径约2.3cm；</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个</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r>
              <w:rPr>
                <w:rFonts w:ascii="宋体" w:hAnsi="宋体" w:cs="宋体"/>
                <w:color w:val="000000"/>
                <w:kern w:val="0"/>
                <w:sz w:val="18"/>
                <w:szCs w:val="18"/>
                <w:lang w:bidi="ar"/>
              </w:rPr>
              <w:t>0</w:t>
            </w:r>
          </w:p>
        </w:tc>
      </w:tr>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bidi="ar"/>
              </w:rPr>
              <w:t>4</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cs="宋体"/>
                <w:color w:val="000000"/>
                <w:kern w:val="0"/>
                <w:sz w:val="18"/>
                <w:szCs w:val="18"/>
                <w:lang w:val="en-US" w:eastAsia="zh-CN" w:bidi="ar"/>
              </w:rPr>
            </w:pPr>
            <w:r>
              <w:rPr>
                <w:rFonts w:hint="default" w:ascii="宋体" w:hAnsi="宋体" w:cs="宋体"/>
                <w:color w:val="000000"/>
                <w:kern w:val="0"/>
                <w:sz w:val="18"/>
                <w:szCs w:val="18"/>
                <w:lang w:val="en-US" w:eastAsia="zh-CN" w:bidi="ar"/>
              </w:rPr>
              <w:t>102519650</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温控仪</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eastAsia="zh-CN" w:bidi="ar"/>
              </w:rPr>
            </w:pPr>
            <w:r>
              <w:rPr>
                <w:rFonts w:ascii="宋体" w:hAnsi="宋体" w:cs="宋体"/>
                <w:color w:val="000000"/>
                <w:kern w:val="0"/>
                <w:sz w:val="18"/>
                <w:szCs w:val="18"/>
                <w:lang w:bidi="ar"/>
              </w:rPr>
              <w:t>D1272AT</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电源：</w:t>
            </w:r>
            <w:r>
              <w:rPr>
                <w:rFonts w:ascii="宋体" w:hAnsi="宋体" w:cs="宋体"/>
                <w:color w:val="000000"/>
                <w:kern w:val="0"/>
                <w:sz w:val="18"/>
                <w:szCs w:val="18"/>
                <w:lang w:bidi="ar"/>
              </w:rPr>
              <w:t>100-240V±10%</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AC</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50-60Hz；功耗5W；测点类型：PT100（0℃-160℃）；输出电流4-20mA</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个</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r>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bidi="ar"/>
              </w:rPr>
              <w:t>5</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cs="宋体"/>
                <w:color w:val="000000"/>
                <w:kern w:val="0"/>
                <w:sz w:val="18"/>
                <w:szCs w:val="18"/>
                <w:lang w:val="en-US" w:eastAsia="zh-CN" w:bidi="ar"/>
              </w:rPr>
            </w:pPr>
            <w:r>
              <w:rPr>
                <w:rFonts w:hint="default" w:ascii="宋体" w:hAnsi="宋体" w:cs="宋体"/>
                <w:color w:val="000000"/>
                <w:kern w:val="0"/>
                <w:sz w:val="18"/>
                <w:szCs w:val="18"/>
                <w:lang w:val="en-US" w:eastAsia="zh-CN" w:bidi="ar"/>
              </w:rPr>
              <w:t>102522384</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10kV杆塔避雷器</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HY5WBG-17/50</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标称/最大放电电流65kA；最大操作电压21kV</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个</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r>
              <w:rPr>
                <w:rFonts w:ascii="宋体" w:hAnsi="宋体" w:cs="宋体"/>
                <w:color w:val="000000"/>
                <w:kern w:val="0"/>
                <w:sz w:val="18"/>
                <w:szCs w:val="18"/>
                <w:lang w:bidi="ar"/>
              </w:rPr>
              <w:t>2</w:t>
            </w:r>
          </w:p>
        </w:tc>
      </w:tr>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bidi="ar"/>
              </w:rPr>
              <w:t>6</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cs="宋体"/>
                <w:color w:val="000000"/>
                <w:kern w:val="0"/>
                <w:sz w:val="18"/>
                <w:szCs w:val="18"/>
                <w:lang w:val="en-US" w:eastAsia="zh-CN" w:bidi="ar"/>
              </w:rPr>
            </w:pPr>
            <w:r>
              <w:rPr>
                <w:rFonts w:hint="default" w:ascii="宋体" w:hAnsi="宋体" w:cs="宋体"/>
                <w:color w:val="000000"/>
                <w:kern w:val="0"/>
                <w:sz w:val="18"/>
                <w:szCs w:val="18"/>
                <w:lang w:val="en-US" w:eastAsia="zh-CN" w:bidi="ar"/>
              </w:rPr>
              <w:t>102519675</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蓄电池采集单元</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ascii="宋体" w:hAnsi="宋体" w:cs="宋体"/>
                <w:color w:val="000000"/>
                <w:kern w:val="0"/>
                <w:sz w:val="18"/>
                <w:szCs w:val="18"/>
                <w:highlight w:val="none"/>
                <w:lang w:bidi="ar"/>
              </w:rPr>
              <w:t>ANB-04(2V)</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适配双登集团股份有限公司GFM-300 2V 300Ah（C10）蓄电池组</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个</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w:t>
            </w:r>
          </w:p>
        </w:tc>
      </w:tr>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7</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cs="宋体"/>
                <w:color w:val="000000"/>
                <w:kern w:val="0"/>
                <w:sz w:val="18"/>
                <w:szCs w:val="18"/>
                <w:lang w:val="en-US" w:eastAsia="zh-CN" w:bidi="ar"/>
              </w:rPr>
            </w:pPr>
            <w:r>
              <w:rPr>
                <w:rFonts w:hint="default" w:ascii="宋体" w:hAnsi="宋体" w:cs="宋体"/>
                <w:color w:val="000000"/>
                <w:kern w:val="0"/>
                <w:sz w:val="18"/>
                <w:szCs w:val="18"/>
                <w:lang w:val="en-US" w:eastAsia="zh-CN" w:bidi="ar"/>
              </w:rPr>
              <w:t>102519606</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箱变低压侧CT</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eastAsia="zh-CN" w:bidi="ar"/>
              </w:rPr>
            </w:pPr>
            <w:r>
              <w:rPr>
                <w:rFonts w:hint="eastAsia" w:ascii="宋体" w:hAnsi="宋体" w:cs="宋体"/>
                <w:color w:val="000000"/>
                <w:kern w:val="0"/>
                <w:sz w:val="18"/>
                <w:szCs w:val="18"/>
                <w:highlight w:val="none"/>
                <w:lang w:bidi="ar"/>
              </w:rPr>
              <w:t>80X50II</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额定电流比：2500/5A</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val="en-US" w:eastAsia="zh-CN" w:bidi="ar"/>
              </w:rPr>
              <w:t>额定频率：</w:t>
            </w:r>
            <w:r>
              <w:rPr>
                <w:rFonts w:hint="eastAsia" w:ascii="宋体" w:hAnsi="宋体" w:cs="宋体"/>
                <w:color w:val="000000"/>
                <w:kern w:val="0"/>
                <w:sz w:val="18"/>
                <w:szCs w:val="18"/>
                <w:highlight w:val="none"/>
                <w:lang w:bidi="ar"/>
              </w:rPr>
              <w:t>50-60Hz</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val="en-US" w:eastAsia="zh-CN" w:bidi="ar"/>
              </w:rPr>
              <w:t>额定电流：</w:t>
            </w:r>
            <w:r>
              <w:rPr>
                <w:rFonts w:hint="eastAsia" w:ascii="宋体" w:hAnsi="宋体" w:cs="宋体"/>
                <w:color w:val="000000"/>
                <w:kern w:val="0"/>
                <w:sz w:val="18"/>
                <w:szCs w:val="18"/>
                <w:highlight w:val="none"/>
                <w:lang w:bidi="ar"/>
              </w:rPr>
              <w:t>690v</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bidi="ar"/>
              </w:rPr>
              <w:t>穿心匝数1匝</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bidi="ar"/>
              </w:rPr>
              <w:t>准确等级0.5</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bidi="ar"/>
              </w:rPr>
              <w:t>额定输出15VA</w:t>
            </w:r>
            <w:r>
              <w:rPr>
                <w:rFonts w:hint="eastAsia" w:ascii="宋体" w:hAnsi="宋体" w:cs="宋体"/>
                <w:color w:val="000000"/>
                <w:kern w:val="0"/>
                <w:sz w:val="18"/>
                <w:szCs w:val="18"/>
                <w:highlight w:val="none"/>
                <w:lang w:val="en-US" w:eastAsia="zh-CN" w:bidi="ar"/>
              </w:rPr>
              <w:t>；长约13.6cm，宽约11.4cm</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个</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9</w:t>
            </w:r>
          </w:p>
        </w:tc>
      </w:tr>
      <w:tr>
        <w:tblPrEx>
          <w:tblCellMar>
            <w:top w:w="0" w:type="dxa"/>
            <w:left w:w="108" w:type="dxa"/>
            <w:bottom w:w="0" w:type="dxa"/>
            <w:right w:w="108" w:type="dxa"/>
          </w:tblCellMar>
        </w:tblPrEx>
        <w:trPr>
          <w:trHeight w:val="90" w:hRule="atLeast"/>
          <w:jc w:val="center"/>
        </w:trPr>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8</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cs="宋体"/>
                <w:color w:val="000000"/>
                <w:kern w:val="0"/>
                <w:sz w:val="18"/>
                <w:szCs w:val="18"/>
                <w:lang w:val="en-US" w:eastAsia="zh-CN" w:bidi="ar"/>
              </w:rPr>
            </w:pPr>
            <w:r>
              <w:rPr>
                <w:rFonts w:hint="default" w:ascii="宋体" w:hAnsi="宋体" w:cs="宋体"/>
                <w:color w:val="000000"/>
                <w:kern w:val="0"/>
                <w:sz w:val="18"/>
                <w:szCs w:val="18"/>
                <w:lang w:val="en-US" w:eastAsia="zh-CN" w:bidi="ar"/>
              </w:rPr>
              <w:t>102206059</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default"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接地变（干式变压器）温控器</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cs="宋体"/>
                <w:color w:val="000000"/>
                <w:kern w:val="0"/>
                <w:sz w:val="18"/>
                <w:szCs w:val="18"/>
                <w:highlight w:val="none"/>
                <w:lang w:eastAsia="zh-CN" w:bidi="ar"/>
              </w:rPr>
            </w:pPr>
            <w:r>
              <w:rPr>
                <w:rFonts w:hint="eastAsia" w:ascii="宋体" w:hAnsi="宋体" w:cs="宋体"/>
                <w:color w:val="000000"/>
                <w:kern w:val="0"/>
                <w:sz w:val="18"/>
                <w:szCs w:val="18"/>
                <w:highlight w:val="none"/>
                <w:lang w:eastAsia="zh-CN" w:bidi="ar"/>
              </w:rPr>
              <w:t>BWDK-S201EF</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bidi="ar"/>
              </w:rPr>
              <w:t>工作电源</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bidi="ar"/>
              </w:rPr>
              <w:t>220V</w:t>
            </w:r>
            <w:r>
              <w:rPr>
                <w:rFonts w:hint="eastAsia" w:ascii="宋体" w:hAnsi="宋体" w:cs="宋体"/>
                <w:color w:val="000000"/>
                <w:kern w:val="0"/>
                <w:sz w:val="18"/>
                <w:szCs w:val="18"/>
                <w:highlight w:val="none"/>
                <w:lang w:val="en-US" w:eastAsia="zh-CN" w:bidi="ar"/>
              </w:rPr>
              <w:t>（</w:t>
            </w:r>
            <w:r>
              <w:rPr>
                <w:rFonts w:hint="eastAsia" w:ascii="宋体" w:hAnsi="宋体" w:cs="宋体"/>
                <w:color w:val="000000"/>
                <w:kern w:val="0"/>
                <w:sz w:val="18"/>
                <w:szCs w:val="18"/>
                <w:highlight w:val="none"/>
                <w:lang w:bidi="ar"/>
              </w:rPr>
              <w:t>AC</w:t>
            </w:r>
            <w:r>
              <w:rPr>
                <w:rFonts w:hint="eastAsia" w:ascii="宋体" w:hAnsi="宋体" w:cs="宋体"/>
                <w:color w:val="000000"/>
                <w:kern w:val="0"/>
                <w:sz w:val="18"/>
                <w:szCs w:val="18"/>
                <w:highlight w:val="none"/>
                <w:lang w:val="en-US" w:eastAsia="zh-CN" w:bidi="ar"/>
              </w:rPr>
              <w:t>）；风机容量：9A、250VAC；触点容量：5A、250VAC；适配浙江日新电气有限公司DKSC-800/37接地变</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default" w:ascii="宋体" w:hAnsi="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个</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default" w:ascii="宋体" w:hAnsi="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1</w:t>
            </w:r>
          </w:p>
        </w:tc>
      </w:tr>
    </w:tbl>
    <w:p>
      <w:pPr>
        <w:spacing w:before="120"/>
        <w:ind w:firstLine="0" w:firstLineChars="0"/>
        <w:rPr>
          <w:rFonts w:hint="eastAsia" w:eastAsia="宋体"/>
          <w:lang w:val="en-US" w:eastAsia="zh-CN"/>
        </w:rPr>
      </w:pPr>
      <w:r>
        <w:rPr>
          <w:rFonts w:hint="eastAsia"/>
          <w:lang w:val="en-US" w:eastAsia="zh-CN"/>
        </w:rPr>
        <w:t>详见附件：华能河南清洁能源分公司汤阴区域运维中心风电场物资采购合同及技术规范书</w:t>
      </w:r>
    </w:p>
    <w:p>
      <w:pPr>
        <w:pStyle w:val="4"/>
        <w:spacing w:before="156"/>
      </w:pPr>
      <w:r>
        <w:rPr>
          <w:rFonts w:hint="eastAsia"/>
        </w:rPr>
        <w:t>六、</w:t>
      </w:r>
      <w:r>
        <w:t>联系人信息</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8"/>
        <w:gridCol w:w="2210"/>
        <w:gridCol w:w="2121"/>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联系人（采购人）</w:t>
            </w:r>
          </w:p>
        </w:tc>
        <w:tc>
          <w:tcPr>
            <w:tcW w:w="2311" w:type="dxa"/>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孙女士</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询价单位</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sz w:val="21"/>
                <w:szCs w:val="21"/>
              </w:rPr>
              <w:t>华能安阳能源有限责任公司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联系电话</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037188923392</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传真</w:t>
            </w:r>
          </w:p>
        </w:tc>
        <w:tc>
          <w:tcPr>
            <w:tcW w:w="2311" w:type="dxa"/>
            <w:shd w:val="clear" w:color="auto" w:fill="auto"/>
            <w:vAlign w:val="center"/>
          </w:tcPr>
          <w:p>
            <w:pPr>
              <w:spacing w:line="240" w:lineRule="auto"/>
              <w:jc w:val="both"/>
              <w:rPr>
                <w:rFonts w:hint="default" w:ascii="宋体" w:hAnsi="宋体" w:eastAsia="宋体" w:cs="宋体"/>
                <w:kern w:val="0"/>
                <w:sz w:val="21"/>
                <w:szCs w:val="21"/>
                <w:lang w:val="en-US" w:eastAsia="zh-CN"/>
              </w:rPr>
            </w:pPr>
            <w:bookmarkStart w:id="7" w:name="_GoBack"/>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邮编</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450016</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Email</w:t>
            </w: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手机</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p>
        </w:tc>
        <w:tc>
          <w:tcPr>
            <w:tcW w:w="2311"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联系地址</w:t>
            </w:r>
          </w:p>
        </w:tc>
        <w:tc>
          <w:tcPr>
            <w:tcW w:w="2311" w:type="dxa"/>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p>
        </w:tc>
      </w:tr>
    </w:tbl>
    <w:p>
      <w:pPr>
        <w:pStyle w:val="4"/>
        <w:spacing w:before="156"/>
      </w:pPr>
      <w:r>
        <w:rPr>
          <w:rFonts w:hint="eastAsia"/>
        </w:rPr>
        <w:t>七、</w:t>
      </w:r>
      <w:r>
        <w:t>附件</w:t>
      </w:r>
    </w:p>
    <w:bookmarkEnd w:id="5"/>
    <w:bookmarkEnd w:id="6"/>
    <w:p>
      <w:pPr>
        <w:spacing w:before="120"/>
        <w:ind w:firstLine="0" w:firstLineChars="0"/>
      </w:pPr>
      <w:r>
        <w:rPr>
          <w:rFonts w:ascii="宋体" w:hAnsi="宋体" w:cs="宋体"/>
          <w:bCs/>
          <w:szCs w:val="24"/>
        </w:rPr>
        <w:t>只接受供应商</w:t>
      </w:r>
      <w:r>
        <w:rPr>
          <w:rFonts w:hint="eastAsia" w:ascii="宋体" w:hAnsi="宋体" w:cs="宋体"/>
          <w:bCs/>
          <w:szCs w:val="24"/>
        </w:rPr>
        <w:t>通过电子商务平台线上对需要澄清的内容提出问询</w:t>
      </w:r>
      <w:r>
        <w:rPr>
          <w:rFonts w:hint="eastAsia"/>
        </w:rPr>
        <w:t>。</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00443E13"/>
    <w:rsid w:val="0000491D"/>
    <w:rsid w:val="00047F4E"/>
    <w:rsid w:val="000A36D4"/>
    <w:rsid w:val="000D678A"/>
    <w:rsid w:val="0010380E"/>
    <w:rsid w:val="00156D5A"/>
    <w:rsid w:val="001770EF"/>
    <w:rsid w:val="001955E5"/>
    <w:rsid w:val="001D1280"/>
    <w:rsid w:val="001F257E"/>
    <w:rsid w:val="00205264"/>
    <w:rsid w:val="00260C78"/>
    <w:rsid w:val="002D3F9D"/>
    <w:rsid w:val="0032178C"/>
    <w:rsid w:val="0032713F"/>
    <w:rsid w:val="00331633"/>
    <w:rsid w:val="00344AE4"/>
    <w:rsid w:val="003A670B"/>
    <w:rsid w:val="003A6D52"/>
    <w:rsid w:val="003F5B9B"/>
    <w:rsid w:val="00422D1C"/>
    <w:rsid w:val="00433601"/>
    <w:rsid w:val="00443E13"/>
    <w:rsid w:val="0045514B"/>
    <w:rsid w:val="00483085"/>
    <w:rsid w:val="00483A38"/>
    <w:rsid w:val="004A24B0"/>
    <w:rsid w:val="004B7C77"/>
    <w:rsid w:val="00504BA3"/>
    <w:rsid w:val="005210D0"/>
    <w:rsid w:val="005545D8"/>
    <w:rsid w:val="0058610F"/>
    <w:rsid w:val="005B18A0"/>
    <w:rsid w:val="00647943"/>
    <w:rsid w:val="00672A75"/>
    <w:rsid w:val="0067386E"/>
    <w:rsid w:val="00694D3E"/>
    <w:rsid w:val="006B77EB"/>
    <w:rsid w:val="006F2A61"/>
    <w:rsid w:val="0072363A"/>
    <w:rsid w:val="007264C2"/>
    <w:rsid w:val="007805CE"/>
    <w:rsid w:val="00780D1A"/>
    <w:rsid w:val="00782945"/>
    <w:rsid w:val="007F3BC1"/>
    <w:rsid w:val="007F6E95"/>
    <w:rsid w:val="00805DF0"/>
    <w:rsid w:val="00814418"/>
    <w:rsid w:val="008300F1"/>
    <w:rsid w:val="00832AFC"/>
    <w:rsid w:val="00883BEE"/>
    <w:rsid w:val="00893BA6"/>
    <w:rsid w:val="00910274"/>
    <w:rsid w:val="009252CD"/>
    <w:rsid w:val="00973F65"/>
    <w:rsid w:val="00976F90"/>
    <w:rsid w:val="009E41AA"/>
    <w:rsid w:val="009F3576"/>
    <w:rsid w:val="009F4EC4"/>
    <w:rsid w:val="00A3191A"/>
    <w:rsid w:val="00A62729"/>
    <w:rsid w:val="00A70072"/>
    <w:rsid w:val="00AF24BF"/>
    <w:rsid w:val="00AF3813"/>
    <w:rsid w:val="00AF6EB4"/>
    <w:rsid w:val="00B8497B"/>
    <w:rsid w:val="00B95A2A"/>
    <w:rsid w:val="00C26F62"/>
    <w:rsid w:val="00C550EA"/>
    <w:rsid w:val="00C713C1"/>
    <w:rsid w:val="00CE67A3"/>
    <w:rsid w:val="00CF35BA"/>
    <w:rsid w:val="00D56F76"/>
    <w:rsid w:val="00D601DA"/>
    <w:rsid w:val="00D872C9"/>
    <w:rsid w:val="00DA011C"/>
    <w:rsid w:val="00DE3150"/>
    <w:rsid w:val="00E65BBF"/>
    <w:rsid w:val="00EC54EB"/>
    <w:rsid w:val="00F41C36"/>
    <w:rsid w:val="00F42208"/>
    <w:rsid w:val="00F53C4A"/>
    <w:rsid w:val="00F805FC"/>
    <w:rsid w:val="00F808CC"/>
    <w:rsid w:val="00FB41C7"/>
    <w:rsid w:val="012D4D8E"/>
    <w:rsid w:val="02834D01"/>
    <w:rsid w:val="05830D08"/>
    <w:rsid w:val="0D5232E1"/>
    <w:rsid w:val="21A56B05"/>
    <w:rsid w:val="318D5820"/>
    <w:rsid w:val="347E70F4"/>
    <w:rsid w:val="36EE64E0"/>
    <w:rsid w:val="395E6D49"/>
    <w:rsid w:val="4DAF1276"/>
    <w:rsid w:val="67C34E3A"/>
    <w:rsid w:val="6E9F460C"/>
    <w:rsid w:val="7B910F77"/>
    <w:rsid w:val="7BEA11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lang w:val="en-US" w:eastAsia="zh-CN" w:bidi="ar-SA"/>
    </w:rPr>
  </w:style>
  <w:style w:type="paragraph" w:styleId="3">
    <w:name w:val="heading 1"/>
    <w:basedOn w:val="1"/>
    <w:next w:val="1"/>
    <w:link w:val="17"/>
    <w:qFormat/>
    <w:uiPriority w:val="9"/>
    <w:pPr>
      <w:keepNext/>
      <w:keepLines/>
      <w:spacing w:before="340" w:after="330" w:line="578" w:lineRule="atLeast"/>
      <w:outlineLvl w:val="0"/>
    </w:pPr>
    <w:rPr>
      <w:b/>
      <w:bCs/>
      <w:kern w:val="44"/>
      <w:sz w:val="44"/>
      <w:szCs w:val="44"/>
    </w:rPr>
  </w:style>
  <w:style w:type="paragraph" w:styleId="4">
    <w:name w:val="heading 2"/>
    <w:basedOn w:val="1"/>
    <w:next w:val="1"/>
    <w:link w:val="14"/>
    <w:unhideWhenUsed/>
    <w:qFormat/>
    <w:uiPriority w:val="9"/>
    <w:pPr>
      <w:keepNext/>
      <w:keepLines/>
      <w:spacing w:beforeLines="50" w:line="360" w:lineRule="auto"/>
      <w:ind w:firstLine="0" w:firstLineChars="0"/>
      <w:jc w:val="left"/>
      <w:outlineLvl w:val="1"/>
    </w:pPr>
    <w:rPr>
      <w:rFonts w:ascii="Arial" w:hAnsi="Arial" w:eastAsia="黑体"/>
      <w:bCs/>
      <w:kern w:val="0"/>
      <w:sz w:val="28"/>
      <w:szCs w:val="32"/>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5">
    <w:name w:val="annotation text"/>
    <w:basedOn w:val="1"/>
    <w:link w:val="22"/>
    <w:semiHidden/>
    <w:unhideWhenUsed/>
    <w:qFormat/>
    <w:uiPriority w:val="99"/>
    <w:pPr>
      <w:jc w:val="left"/>
    </w:pPr>
  </w:style>
  <w:style w:type="paragraph" w:styleId="6">
    <w:name w:val="Balloon Text"/>
    <w:basedOn w:val="1"/>
    <w:link w:val="21"/>
    <w:semiHidden/>
    <w:unhideWhenUsed/>
    <w:qFormat/>
    <w:uiPriority w:val="99"/>
    <w:pPr>
      <w:spacing w:line="240" w:lineRule="auto"/>
    </w:pPr>
    <w:rPr>
      <w:sz w:val="18"/>
      <w:szCs w:val="18"/>
    </w:rPr>
  </w:style>
  <w:style w:type="paragraph" w:styleId="7">
    <w:name w:val="footer"/>
    <w:basedOn w:val="1"/>
    <w:link w:val="19"/>
    <w:qFormat/>
    <w:uiPriority w:val="99"/>
    <w:pPr>
      <w:tabs>
        <w:tab w:val="center" w:pos="4153"/>
        <w:tab w:val="right" w:pos="8306"/>
      </w:tabs>
      <w:spacing w:line="240" w:lineRule="atLeast"/>
      <w:jc w:val="left"/>
    </w:pPr>
    <w:rPr>
      <w:sz w:val="18"/>
      <w:szCs w:val="18"/>
    </w:rPr>
  </w:style>
  <w:style w:type="paragraph" w:styleId="8">
    <w:name w:val="header"/>
    <w:basedOn w:val="1"/>
    <w:link w:val="18"/>
    <w:qFormat/>
    <w:uiPriority w:val="99"/>
    <w:pPr>
      <w:pBdr>
        <w:bottom w:val="single" w:color="auto" w:sz="6" w:space="1"/>
      </w:pBdr>
      <w:tabs>
        <w:tab w:val="center" w:pos="4153"/>
        <w:tab w:val="right" w:pos="8306"/>
      </w:tabs>
      <w:spacing w:line="240" w:lineRule="atLeast"/>
      <w:jc w:val="center"/>
    </w:pPr>
    <w:rPr>
      <w:sz w:val="18"/>
      <w:szCs w:val="18"/>
    </w:rPr>
  </w:style>
  <w:style w:type="paragraph" w:styleId="9">
    <w:name w:val="Title"/>
    <w:basedOn w:val="3"/>
    <w:next w:val="1"/>
    <w:link w:val="15"/>
    <w:qFormat/>
    <w:uiPriority w:val="10"/>
    <w:pPr>
      <w:spacing w:beforeLines="50" w:after="0" w:line="360" w:lineRule="auto"/>
      <w:ind w:firstLine="0" w:firstLineChars="0"/>
      <w:jc w:val="center"/>
    </w:pPr>
    <w:rPr>
      <w:rFonts w:ascii="Cambria" w:hAnsi="Cambria" w:eastAsia="黑体" w:cs="宋体"/>
      <w:b w:val="0"/>
      <w:bCs w:val="0"/>
      <w:sz w:val="36"/>
      <w:szCs w:val="32"/>
    </w:rPr>
  </w:style>
  <w:style w:type="paragraph" w:styleId="10">
    <w:name w:val="annotation subject"/>
    <w:basedOn w:val="5"/>
    <w:next w:val="5"/>
    <w:link w:val="23"/>
    <w:semiHidden/>
    <w:unhideWhenUsed/>
    <w:qFormat/>
    <w:uiPriority w:val="99"/>
    <w:rPr>
      <w:b/>
      <w:bCs/>
    </w:rPr>
  </w:style>
  <w:style w:type="character" w:styleId="13">
    <w:name w:val="annotation reference"/>
    <w:basedOn w:val="12"/>
    <w:semiHidden/>
    <w:unhideWhenUsed/>
    <w:qFormat/>
    <w:uiPriority w:val="99"/>
    <w:rPr>
      <w:sz w:val="21"/>
      <w:szCs w:val="21"/>
    </w:rPr>
  </w:style>
  <w:style w:type="character" w:customStyle="1" w:styleId="14">
    <w:name w:val="标题 2 Char"/>
    <w:basedOn w:val="12"/>
    <w:link w:val="4"/>
    <w:qFormat/>
    <w:uiPriority w:val="0"/>
    <w:rPr>
      <w:rFonts w:ascii="Arial" w:hAnsi="Arial" w:eastAsia="黑体" w:cs="Times New Roman"/>
      <w:bCs/>
      <w:kern w:val="0"/>
      <w:sz w:val="28"/>
      <w:szCs w:val="32"/>
    </w:rPr>
  </w:style>
  <w:style w:type="character" w:customStyle="1" w:styleId="15">
    <w:name w:val="标题 Char"/>
    <w:link w:val="9"/>
    <w:uiPriority w:val="0"/>
    <w:rPr>
      <w:rFonts w:ascii="Cambria" w:hAnsi="Cambria" w:eastAsia="黑体"/>
      <w:kern w:val="44"/>
      <w:sz w:val="36"/>
      <w:szCs w:val="32"/>
    </w:rPr>
  </w:style>
  <w:style w:type="character" w:customStyle="1" w:styleId="16">
    <w:name w:val="标题 字符1"/>
    <w:basedOn w:val="12"/>
    <w:qFormat/>
    <w:uiPriority w:val="10"/>
    <w:rPr>
      <w:rFonts w:ascii="等线 Light" w:hAnsi="等线 Light" w:eastAsia="等线 Light" w:cs="宋体"/>
      <w:b/>
      <w:bCs/>
      <w:sz w:val="32"/>
      <w:szCs w:val="32"/>
    </w:rPr>
  </w:style>
  <w:style w:type="character" w:customStyle="1" w:styleId="17">
    <w:name w:val="标题 1 Char"/>
    <w:basedOn w:val="12"/>
    <w:link w:val="3"/>
    <w:qFormat/>
    <w:uiPriority w:val="9"/>
    <w:rPr>
      <w:rFonts w:ascii="Times New Roman" w:hAnsi="Times New Roman" w:eastAsia="宋体" w:cs="Times New Roman"/>
      <w:b/>
      <w:bCs/>
      <w:kern w:val="44"/>
      <w:sz w:val="44"/>
      <w:szCs w:val="44"/>
    </w:rPr>
  </w:style>
  <w:style w:type="character" w:customStyle="1" w:styleId="18">
    <w:name w:val="页眉 Char"/>
    <w:basedOn w:val="12"/>
    <w:link w:val="8"/>
    <w:uiPriority w:val="99"/>
    <w:rPr>
      <w:rFonts w:ascii="Times New Roman" w:hAnsi="Times New Roman" w:eastAsia="宋体" w:cs="Times New Roman"/>
      <w:sz w:val="18"/>
      <w:szCs w:val="18"/>
    </w:rPr>
  </w:style>
  <w:style w:type="character" w:customStyle="1" w:styleId="19">
    <w:name w:val="页脚 Char"/>
    <w:basedOn w:val="12"/>
    <w:link w:val="7"/>
    <w:qFormat/>
    <w:uiPriority w:val="99"/>
    <w:rPr>
      <w:rFonts w:ascii="Times New Roman" w:hAnsi="Times New Roman" w:eastAsia="宋体" w:cs="Times New Roman"/>
      <w:sz w:val="18"/>
      <w:szCs w:val="18"/>
    </w:rPr>
  </w:style>
  <w:style w:type="paragraph" w:customStyle="1" w:styleId="20">
    <w:name w:val="修订1"/>
    <w:hidden/>
    <w:semiHidden/>
    <w:qFormat/>
    <w:uiPriority w:val="99"/>
    <w:rPr>
      <w:rFonts w:ascii="Times New Roman" w:hAnsi="Times New Roman" w:eastAsia="宋体" w:cs="Times New Roman"/>
      <w:kern w:val="2"/>
      <w:sz w:val="24"/>
      <w:lang w:val="en-US" w:eastAsia="zh-CN" w:bidi="ar-SA"/>
    </w:rPr>
  </w:style>
  <w:style w:type="character" w:customStyle="1" w:styleId="21">
    <w:name w:val="批注框文本 Char"/>
    <w:basedOn w:val="12"/>
    <w:link w:val="6"/>
    <w:semiHidden/>
    <w:uiPriority w:val="99"/>
    <w:rPr>
      <w:rFonts w:ascii="Times New Roman" w:hAnsi="Times New Roman" w:eastAsia="宋体" w:cs="Times New Roman"/>
      <w:sz w:val="18"/>
      <w:szCs w:val="18"/>
    </w:rPr>
  </w:style>
  <w:style w:type="character" w:customStyle="1" w:styleId="22">
    <w:name w:val="批注文字 Char"/>
    <w:basedOn w:val="12"/>
    <w:link w:val="5"/>
    <w:semiHidden/>
    <w:qFormat/>
    <w:uiPriority w:val="99"/>
    <w:rPr>
      <w:rFonts w:ascii="Times New Roman" w:hAnsi="Times New Roman" w:eastAsia="宋体" w:cs="Times New Roman"/>
      <w:sz w:val="24"/>
      <w:szCs w:val="20"/>
    </w:rPr>
  </w:style>
  <w:style w:type="character" w:customStyle="1" w:styleId="23">
    <w:name w:val="批注主题 Char"/>
    <w:basedOn w:val="22"/>
    <w:link w:val="10"/>
    <w:semiHidden/>
    <w:qFormat/>
    <w:uiPriority w:val="99"/>
    <w:rPr>
      <w:rFonts w:ascii="Times New Roman" w:hAnsi="Times New Roman" w:eastAsia="宋体" w:cs="Times New Roman"/>
      <w:b/>
      <w:bCs/>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3</Pages>
  <Words>228</Words>
  <Characters>1305</Characters>
  <Lines>10</Lines>
  <Paragraphs>3</Paragraphs>
  <TotalTime>1</TotalTime>
  <ScaleCrop>false</ScaleCrop>
  <LinksUpToDate>false</LinksUpToDate>
  <CharactersWithSpaces>1530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2022-08-15T00:56:00Z</dcterms:created>
  <dc:creator>田森 TIANSEN</dc:creator>
  <cp:lastModifiedBy>zero</cp:lastModifiedBy>
  <cp:lastPrinted>2022-06-28T02:42:00Z</cp:lastPrinted>
  <dcterms:modified xsi:type="dcterms:W3CDTF">2022-10-12T06:46:42Z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F5821019B2C642D3AB476353FD7C78EC</vt:lpwstr>
  </property>
  <property fmtid="{D5CDD505-2E9C-101B-9397-08002B2CF9AE}" pid="3" name="KSOProductBuildVer">
    <vt:lpwstr>2052-11.1.0.12358</vt:lpwstr>
  </property>
</Properties>
</file>