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tLeast"/>
        <w:ind w:firstLine="2" w:firstLineChars="1"/>
        <w:jc w:val="center"/>
      </w:pPr>
      <w:bookmarkStart w:id="41" w:name="_GoBack"/>
      <w:bookmarkEnd w:id="41"/>
    </w:p>
    <w:p>
      <w:pPr>
        <w:spacing w:line="240" w:lineRule="atLeast"/>
        <w:ind w:firstLine="3" w:firstLineChars="1"/>
        <w:jc w:val="center"/>
        <w:rPr>
          <w:rFonts w:eastAsia="黑体"/>
          <w:spacing w:val="18"/>
          <w:sz w:val="32"/>
        </w:rPr>
      </w:pPr>
    </w:p>
    <w:p>
      <w:pPr>
        <w:spacing w:line="240" w:lineRule="atLeast"/>
        <w:ind w:firstLine="3" w:firstLineChars="1"/>
        <w:jc w:val="center"/>
        <w:rPr>
          <w:rFonts w:eastAsia="黑体"/>
          <w:spacing w:val="18"/>
          <w:sz w:val="32"/>
        </w:rPr>
      </w:pPr>
    </w:p>
    <w:p>
      <w:pPr>
        <w:spacing w:line="240" w:lineRule="atLeast"/>
        <w:ind w:firstLine="3" w:firstLineChars="1"/>
        <w:jc w:val="center"/>
        <w:rPr>
          <w:rFonts w:eastAsia="黑体"/>
          <w:spacing w:val="18"/>
          <w:sz w:val="32"/>
        </w:rPr>
      </w:pPr>
    </w:p>
    <w:p>
      <w:pPr>
        <w:spacing w:line="240" w:lineRule="atLeast"/>
        <w:ind w:firstLine="3" w:firstLineChars="1"/>
        <w:jc w:val="center"/>
        <w:rPr>
          <w:rFonts w:eastAsia="黑体"/>
          <w:spacing w:val="18"/>
          <w:sz w:val="32"/>
        </w:rPr>
      </w:pPr>
    </w:p>
    <w:p>
      <w:pPr>
        <w:spacing w:line="240" w:lineRule="atLeast"/>
        <w:ind w:firstLine="5" w:firstLineChars="1"/>
        <w:jc w:val="center"/>
        <w:rPr>
          <w:rFonts w:ascii="宋体" w:hAnsi="宋体"/>
          <w:b/>
          <w:sz w:val="52"/>
        </w:rPr>
      </w:pPr>
      <w:bookmarkStart w:id="0" w:name="_Hlk52226856"/>
      <w:r>
        <w:rPr>
          <w:rFonts w:hint="eastAsia" w:ascii="宋体" w:hAnsi="宋体"/>
          <w:b/>
          <w:sz w:val="52"/>
        </w:rPr>
        <w:t>华能平凉电厂重大危险源综合治理改造工程</w:t>
      </w:r>
    </w:p>
    <w:bookmarkEnd w:id="0"/>
    <w:p>
      <w:pPr>
        <w:spacing w:line="240" w:lineRule="atLeast"/>
        <w:rPr>
          <w:rFonts w:eastAsia="黑体"/>
          <w:spacing w:val="18"/>
          <w:sz w:val="36"/>
        </w:rPr>
      </w:pPr>
    </w:p>
    <w:p>
      <w:pPr>
        <w:spacing w:line="240" w:lineRule="atLeast"/>
        <w:rPr>
          <w:rFonts w:eastAsia="黑体"/>
          <w:spacing w:val="18"/>
          <w:sz w:val="36"/>
        </w:rPr>
      </w:pPr>
    </w:p>
    <w:p>
      <w:pPr>
        <w:spacing w:line="240" w:lineRule="atLeast"/>
        <w:rPr>
          <w:rFonts w:eastAsia="黑体"/>
          <w:spacing w:val="18"/>
          <w:sz w:val="36"/>
        </w:rPr>
      </w:pPr>
    </w:p>
    <w:p>
      <w:pPr>
        <w:spacing w:line="240" w:lineRule="atLeast"/>
        <w:rPr>
          <w:rFonts w:eastAsia="黑体"/>
          <w:spacing w:val="18"/>
          <w:sz w:val="36"/>
        </w:rPr>
      </w:pPr>
    </w:p>
    <w:p>
      <w:pPr>
        <w:spacing w:line="240" w:lineRule="atLeast"/>
        <w:ind w:firstLine="5" w:firstLineChars="1"/>
        <w:jc w:val="center"/>
        <w:rPr>
          <w:rFonts w:ascii="宋体" w:hAnsi="宋体"/>
          <w:b/>
          <w:sz w:val="52"/>
        </w:rPr>
      </w:pPr>
      <w:r>
        <w:rPr>
          <w:rFonts w:hint="eastAsia" w:ascii="宋体" w:hAnsi="宋体"/>
          <w:b/>
          <w:sz w:val="52"/>
        </w:rPr>
        <w:t>斗式提升机</w:t>
      </w:r>
    </w:p>
    <w:p>
      <w:pPr>
        <w:jc w:val="center"/>
        <w:rPr>
          <w:rFonts w:ascii="宋体" w:hAnsi="宋体"/>
          <w:b/>
          <w:sz w:val="52"/>
        </w:rPr>
      </w:pPr>
      <w:r>
        <w:rPr>
          <w:rFonts w:hint="eastAsia" w:ascii="宋体" w:hAnsi="宋体"/>
          <w:b/>
          <w:sz w:val="52"/>
        </w:rPr>
        <w:t>技术规范书</w:t>
      </w:r>
    </w:p>
    <w:p>
      <w:pPr>
        <w:spacing w:before="120" w:line="240" w:lineRule="atLeast"/>
        <w:rPr>
          <w:rFonts w:ascii="宋体"/>
          <w:sz w:val="11"/>
        </w:rPr>
      </w:pPr>
    </w:p>
    <w:p>
      <w:pPr>
        <w:spacing w:before="120" w:line="240" w:lineRule="atLeast"/>
        <w:rPr>
          <w:rFonts w:ascii="宋体"/>
          <w:sz w:val="11"/>
        </w:rPr>
      </w:pPr>
    </w:p>
    <w:p>
      <w:pPr>
        <w:spacing w:before="120" w:line="240" w:lineRule="atLeast"/>
        <w:jc w:val="center"/>
        <w:rPr>
          <w:rFonts w:ascii="宋体"/>
          <w:sz w:val="28"/>
        </w:rPr>
      </w:pPr>
    </w:p>
    <w:p>
      <w:pPr>
        <w:spacing w:before="120" w:line="240" w:lineRule="atLeast"/>
        <w:rPr>
          <w:rFonts w:ascii="宋体"/>
          <w:sz w:val="28"/>
        </w:rPr>
      </w:pPr>
    </w:p>
    <w:p>
      <w:pPr>
        <w:spacing w:before="120" w:line="240" w:lineRule="atLeast"/>
        <w:rPr>
          <w:rFonts w:ascii="宋体"/>
          <w:sz w:val="28"/>
        </w:rPr>
      </w:pPr>
    </w:p>
    <w:p>
      <w:pPr>
        <w:spacing w:before="120" w:line="240" w:lineRule="atLeast"/>
        <w:rPr>
          <w:rFonts w:ascii="宋体"/>
          <w:sz w:val="28"/>
        </w:rPr>
      </w:pPr>
    </w:p>
    <w:p>
      <w:pPr>
        <w:spacing w:before="120" w:line="240" w:lineRule="atLeast"/>
        <w:rPr>
          <w:rFonts w:ascii="宋体"/>
          <w:sz w:val="28"/>
        </w:rPr>
      </w:pPr>
    </w:p>
    <w:p>
      <w:pPr>
        <w:spacing w:before="120" w:line="240" w:lineRule="atLeast"/>
        <w:rPr>
          <w:rFonts w:ascii="宋体"/>
          <w:sz w:val="28"/>
        </w:rPr>
      </w:pPr>
    </w:p>
    <w:p>
      <w:pPr>
        <w:spacing w:before="120" w:line="240" w:lineRule="atLeast"/>
        <w:rPr>
          <w:rFonts w:ascii="宋体"/>
          <w:sz w:val="28"/>
        </w:rPr>
      </w:pPr>
    </w:p>
    <w:p>
      <w:pPr>
        <w:spacing w:before="120" w:line="240" w:lineRule="atLeast"/>
        <w:rPr>
          <w:rFonts w:ascii="宋体"/>
          <w:sz w:val="28"/>
        </w:rPr>
      </w:pPr>
    </w:p>
    <w:p>
      <w:pPr>
        <w:spacing w:line="240" w:lineRule="atLeast"/>
        <w:jc w:val="center"/>
        <w:rPr>
          <w:b/>
          <w:bCs/>
          <w:sz w:val="36"/>
        </w:rPr>
      </w:pPr>
    </w:p>
    <w:p>
      <w:pPr>
        <w:spacing w:line="240" w:lineRule="atLeast"/>
        <w:jc w:val="center"/>
        <w:rPr>
          <w:b/>
          <w:bCs/>
          <w:sz w:val="36"/>
        </w:rPr>
      </w:pPr>
      <w:r>
        <w:rPr>
          <w:rFonts w:hint="eastAsia"/>
          <w:b/>
          <w:bCs/>
          <w:sz w:val="36"/>
        </w:rPr>
        <w:t>西安西热锅炉环保工程有限公司</w:t>
      </w:r>
    </w:p>
    <w:p>
      <w:pPr>
        <w:spacing w:line="240" w:lineRule="atLeast"/>
        <w:jc w:val="center"/>
        <w:rPr>
          <w:b/>
          <w:bCs/>
          <w:sz w:val="36"/>
        </w:rPr>
      </w:pPr>
      <w:r>
        <w:rPr>
          <w:rFonts w:hint="eastAsia"/>
          <w:b/>
          <w:bCs/>
          <w:sz w:val="36"/>
        </w:rPr>
        <w:t>20</w:t>
      </w:r>
      <w:r>
        <w:rPr>
          <w:b/>
          <w:bCs/>
          <w:sz w:val="36"/>
        </w:rPr>
        <w:t>22</w:t>
      </w:r>
      <w:r>
        <w:rPr>
          <w:rFonts w:hint="eastAsia"/>
          <w:b/>
          <w:bCs/>
          <w:sz w:val="36"/>
        </w:rPr>
        <w:t>年</w:t>
      </w:r>
      <w:r>
        <w:rPr>
          <w:b/>
          <w:bCs/>
          <w:sz w:val="36"/>
        </w:rPr>
        <w:t>8</w:t>
      </w:r>
      <w:r>
        <w:rPr>
          <w:rFonts w:hint="eastAsia"/>
          <w:b/>
          <w:bCs/>
          <w:sz w:val="36"/>
        </w:rPr>
        <w:t>月</w:t>
      </w:r>
    </w:p>
    <w:p>
      <w:pPr>
        <w:spacing w:line="240" w:lineRule="atLeast"/>
        <w:jc w:val="center"/>
        <w:rPr>
          <w:b/>
          <w:bCs/>
          <w:sz w:val="36"/>
        </w:rPr>
      </w:pPr>
    </w:p>
    <w:p>
      <w:pPr>
        <w:spacing w:line="240" w:lineRule="atLeast"/>
        <w:jc w:val="center"/>
        <w:rPr>
          <w:sz w:val="72"/>
        </w:rPr>
      </w:pPr>
    </w:p>
    <w:p>
      <w:pPr>
        <w:spacing w:line="240" w:lineRule="atLeast"/>
        <w:rPr>
          <w:bCs/>
        </w:rPr>
      </w:pPr>
    </w:p>
    <w:p/>
    <w:p>
      <w:pPr>
        <w:spacing w:line="240" w:lineRule="atLeast"/>
        <w:jc w:val="center"/>
        <w:rPr>
          <w:rFonts w:ascii="宋体"/>
          <w:sz w:val="36"/>
        </w:rPr>
        <w:sectPr>
          <w:headerReference r:id="rId4" w:type="first"/>
          <w:headerReference r:id="rId3" w:type="default"/>
          <w:footerReference r:id="rId5" w:type="even"/>
          <w:type w:val="continuous"/>
          <w:pgSz w:w="11907" w:h="16840"/>
          <w:pgMar w:top="1474" w:right="1134" w:bottom="1474" w:left="1814" w:header="851" w:footer="851" w:gutter="0"/>
          <w:pgNumType w:start="0"/>
          <w:cols w:space="720" w:num="1"/>
          <w:titlePg/>
          <w:docGrid w:linePitch="312" w:charSpace="0"/>
        </w:sectPr>
      </w:pPr>
    </w:p>
    <w:p>
      <w:pPr>
        <w:spacing w:line="240" w:lineRule="atLeast"/>
        <w:ind w:left="206" w:hanging="206" w:hangingChars="64"/>
        <w:jc w:val="center"/>
        <w:rPr>
          <w:b/>
          <w:sz w:val="32"/>
          <w:szCs w:val="32"/>
        </w:rPr>
      </w:pPr>
      <w:r>
        <w:rPr>
          <w:rFonts w:hint="eastAsia"/>
          <w:b/>
          <w:sz w:val="32"/>
          <w:szCs w:val="32"/>
        </w:rPr>
        <w:t>目</w:t>
      </w:r>
      <w:r>
        <w:rPr>
          <w:b/>
          <w:sz w:val="32"/>
          <w:szCs w:val="32"/>
        </w:rPr>
        <w:t xml:space="preserve">     </w:t>
      </w:r>
      <w:r>
        <w:rPr>
          <w:rFonts w:hint="eastAsia"/>
          <w:b/>
          <w:sz w:val="32"/>
          <w:szCs w:val="32"/>
        </w:rPr>
        <w:t>录</w:t>
      </w:r>
    </w:p>
    <w:p>
      <w:pPr>
        <w:spacing w:line="240" w:lineRule="atLeast"/>
        <w:ind w:left="283" w:hanging="283" w:hangingChars="64"/>
        <w:jc w:val="center"/>
        <w:rPr>
          <w:b/>
          <w:sz w:val="44"/>
          <w:szCs w:val="44"/>
        </w:rPr>
      </w:pPr>
    </w:p>
    <w:p>
      <w:pPr>
        <w:pStyle w:val="29"/>
        <w:spacing w:line="360" w:lineRule="auto"/>
        <w:rPr>
          <w:smallCaps w:val="0"/>
          <w:kern w:val="2"/>
          <w:sz w:val="24"/>
          <w:szCs w:val="24"/>
        </w:rPr>
      </w:pPr>
      <w:r>
        <w:rPr>
          <w:smallCaps w:val="0"/>
          <w:sz w:val="24"/>
          <w:szCs w:val="24"/>
        </w:rPr>
        <w:fldChar w:fldCharType="begin"/>
      </w:r>
      <w:r>
        <w:rPr>
          <w:smallCaps w:val="0"/>
          <w:sz w:val="24"/>
          <w:szCs w:val="24"/>
        </w:rPr>
        <w:instrText xml:space="preserve"> TOC \o "1-3" \h \z \u </w:instrText>
      </w:r>
      <w:r>
        <w:rPr>
          <w:smallCaps w:val="0"/>
          <w:sz w:val="24"/>
          <w:szCs w:val="24"/>
        </w:rPr>
        <w:fldChar w:fldCharType="separate"/>
      </w:r>
      <w:r>
        <w:fldChar w:fldCharType="begin"/>
      </w:r>
      <w:r>
        <w:instrText xml:space="preserve"> HYPERLINK \l "_Toc255982366" </w:instrText>
      </w:r>
      <w:r>
        <w:fldChar w:fldCharType="separate"/>
      </w:r>
      <w:r>
        <w:rPr>
          <w:rStyle w:val="36"/>
          <w:sz w:val="24"/>
          <w:szCs w:val="24"/>
        </w:rPr>
        <w:t xml:space="preserve">1 </w:t>
      </w:r>
      <w:r>
        <w:rPr>
          <w:rStyle w:val="36"/>
          <w:rFonts w:hint="eastAsia"/>
          <w:sz w:val="24"/>
          <w:szCs w:val="24"/>
        </w:rPr>
        <w:t>总则</w:t>
      </w:r>
      <w:r>
        <w:rPr>
          <w:sz w:val="24"/>
          <w:szCs w:val="24"/>
        </w:rPr>
        <w:tab/>
      </w:r>
      <w:r>
        <w:rPr>
          <w:sz w:val="24"/>
          <w:szCs w:val="24"/>
        </w:rPr>
        <w:fldChar w:fldCharType="begin"/>
      </w:r>
      <w:r>
        <w:rPr>
          <w:sz w:val="24"/>
          <w:szCs w:val="24"/>
        </w:rPr>
        <w:instrText xml:space="preserve"> PAGEREF _Toc255982366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29"/>
        <w:spacing w:line="360" w:lineRule="auto"/>
        <w:rPr>
          <w:smallCaps w:val="0"/>
          <w:kern w:val="2"/>
          <w:sz w:val="24"/>
          <w:szCs w:val="24"/>
        </w:rPr>
      </w:pPr>
      <w:r>
        <w:fldChar w:fldCharType="begin"/>
      </w:r>
      <w:r>
        <w:instrText xml:space="preserve"> HYPERLINK \l "_Toc255982367" </w:instrText>
      </w:r>
      <w:r>
        <w:fldChar w:fldCharType="separate"/>
      </w:r>
      <w:r>
        <w:rPr>
          <w:rStyle w:val="36"/>
          <w:sz w:val="24"/>
          <w:szCs w:val="24"/>
        </w:rPr>
        <w:t xml:space="preserve">2 </w:t>
      </w:r>
      <w:r>
        <w:rPr>
          <w:rStyle w:val="36"/>
          <w:rFonts w:hint="eastAsia"/>
          <w:sz w:val="24"/>
          <w:szCs w:val="24"/>
        </w:rPr>
        <w:t>工程概况</w:t>
      </w:r>
      <w:r>
        <w:rPr>
          <w:sz w:val="24"/>
          <w:szCs w:val="24"/>
        </w:rPr>
        <w:tab/>
      </w:r>
      <w:r>
        <w:rPr>
          <w:sz w:val="24"/>
          <w:szCs w:val="24"/>
        </w:rPr>
        <w:fldChar w:fldCharType="begin"/>
      </w:r>
      <w:r>
        <w:rPr>
          <w:sz w:val="24"/>
          <w:szCs w:val="24"/>
        </w:rPr>
        <w:instrText xml:space="preserve"> PAGEREF _Toc255982367 \h </w:instrText>
      </w:r>
      <w:r>
        <w:rPr>
          <w:sz w:val="24"/>
          <w:szCs w:val="24"/>
        </w:rPr>
        <w:fldChar w:fldCharType="separate"/>
      </w:r>
      <w:r>
        <w:rPr>
          <w:sz w:val="24"/>
          <w:szCs w:val="24"/>
        </w:rPr>
        <w:t>2</w:t>
      </w:r>
      <w:r>
        <w:rPr>
          <w:sz w:val="24"/>
          <w:szCs w:val="24"/>
        </w:rPr>
        <w:fldChar w:fldCharType="end"/>
      </w:r>
      <w:r>
        <w:rPr>
          <w:sz w:val="24"/>
          <w:szCs w:val="24"/>
        </w:rPr>
        <w:fldChar w:fldCharType="end"/>
      </w:r>
    </w:p>
    <w:p>
      <w:pPr>
        <w:pStyle w:val="29"/>
        <w:spacing w:line="360" w:lineRule="auto"/>
        <w:rPr>
          <w:smallCaps w:val="0"/>
          <w:kern w:val="2"/>
          <w:sz w:val="24"/>
          <w:szCs w:val="24"/>
        </w:rPr>
      </w:pPr>
      <w:r>
        <w:fldChar w:fldCharType="begin"/>
      </w:r>
      <w:r>
        <w:instrText xml:space="preserve"> HYPERLINK \l "_Toc255982368" </w:instrText>
      </w:r>
      <w:r>
        <w:fldChar w:fldCharType="separate"/>
      </w:r>
      <w:r>
        <w:rPr>
          <w:rStyle w:val="36"/>
          <w:sz w:val="24"/>
          <w:szCs w:val="24"/>
        </w:rPr>
        <w:t>3</w:t>
      </w:r>
      <w:r>
        <w:rPr>
          <w:rStyle w:val="36"/>
          <w:rFonts w:hint="eastAsia"/>
          <w:sz w:val="24"/>
          <w:szCs w:val="24"/>
        </w:rPr>
        <w:t>设计和运行条件</w:t>
      </w:r>
      <w:r>
        <w:rPr>
          <w:sz w:val="24"/>
          <w:szCs w:val="24"/>
        </w:rPr>
        <w:tab/>
      </w:r>
      <w:r>
        <w:rPr>
          <w:sz w:val="24"/>
          <w:szCs w:val="24"/>
        </w:rPr>
        <w:fldChar w:fldCharType="begin"/>
      </w:r>
      <w:r>
        <w:rPr>
          <w:sz w:val="24"/>
          <w:szCs w:val="24"/>
        </w:rPr>
        <w:instrText xml:space="preserve"> PAGEREF _Toc255982368 \h </w:instrText>
      </w:r>
      <w:r>
        <w:rPr>
          <w:sz w:val="24"/>
          <w:szCs w:val="24"/>
        </w:rPr>
        <w:fldChar w:fldCharType="separate"/>
      </w:r>
      <w:r>
        <w:rPr>
          <w:sz w:val="24"/>
          <w:szCs w:val="24"/>
        </w:rPr>
        <w:t>2</w:t>
      </w:r>
      <w:r>
        <w:rPr>
          <w:sz w:val="24"/>
          <w:szCs w:val="24"/>
        </w:rPr>
        <w:fldChar w:fldCharType="end"/>
      </w:r>
      <w:r>
        <w:rPr>
          <w:sz w:val="24"/>
          <w:szCs w:val="24"/>
        </w:rPr>
        <w:fldChar w:fldCharType="end"/>
      </w:r>
    </w:p>
    <w:p>
      <w:pPr>
        <w:pStyle w:val="29"/>
        <w:spacing w:line="360" w:lineRule="auto"/>
        <w:rPr>
          <w:smallCaps w:val="0"/>
          <w:kern w:val="2"/>
          <w:sz w:val="24"/>
          <w:szCs w:val="24"/>
        </w:rPr>
      </w:pPr>
      <w:r>
        <w:fldChar w:fldCharType="begin"/>
      </w:r>
      <w:r>
        <w:instrText xml:space="preserve"> HYPERLINK \l "_Toc255982369" </w:instrText>
      </w:r>
      <w:r>
        <w:fldChar w:fldCharType="separate"/>
      </w:r>
      <w:r>
        <w:rPr>
          <w:rStyle w:val="36"/>
          <w:sz w:val="24"/>
          <w:szCs w:val="24"/>
        </w:rPr>
        <w:t>4</w:t>
      </w:r>
      <w:r>
        <w:rPr>
          <w:rStyle w:val="36"/>
          <w:rFonts w:hint="eastAsia"/>
          <w:sz w:val="24"/>
          <w:szCs w:val="24"/>
        </w:rPr>
        <w:t>技术要求</w:t>
      </w:r>
      <w:r>
        <w:rPr>
          <w:sz w:val="24"/>
          <w:szCs w:val="24"/>
        </w:rPr>
        <w:tab/>
      </w:r>
      <w:r>
        <w:rPr>
          <w:sz w:val="24"/>
          <w:szCs w:val="24"/>
        </w:rPr>
        <w:fldChar w:fldCharType="begin"/>
      </w:r>
      <w:r>
        <w:rPr>
          <w:sz w:val="24"/>
          <w:szCs w:val="24"/>
        </w:rPr>
        <w:instrText xml:space="preserve"> PAGEREF _Toc255982369 \h </w:instrText>
      </w:r>
      <w:r>
        <w:rPr>
          <w:sz w:val="24"/>
          <w:szCs w:val="24"/>
        </w:rPr>
        <w:fldChar w:fldCharType="separate"/>
      </w:r>
      <w:r>
        <w:rPr>
          <w:sz w:val="24"/>
          <w:szCs w:val="24"/>
        </w:rPr>
        <w:t>3</w:t>
      </w:r>
      <w:r>
        <w:rPr>
          <w:sz w:val="24"/>
          <w:szCs w:val="24"/>
        </w:rPr>
        <w:fldChar w:fldCharType="end"/>
      </w:r>
      <w:r>
        <w:rPr>
          <w:sz w:val="24"/>
          <w:szCs w:val="24"/>
        </w:rPr>
        <w:fldChar w:fldCharType="end"/>
      </w:r>
    </w:p>
    <w:p>
      <w:pPr>
        <w:pStyle w:val="29"/>
        <w:spacing w:line="360" w:lineRule="auto"/>
        <w:rPr>
          <w:smallCaps w:val="0"/>
          <w:kern w:val="2"/>
          <w:sz w:val="24"/>
          <w:szCs w:val="24"/>
        </w:rPr>
      </w:pPr>
      <w:r>
        <w:fldChar w:fldCharType="begin"/>
      </w:r>
      <w:r>
        <w:instrText xml:space="preserve"> HYPERLINK \l "_Toc255982370" </w:instrText>
      </w:r>
      <w:r>
        <w:fldChar w:fldCharType="separate"/>
      </w:r>
      <w:r>
        <w:rPr>
          <w:rStyle w:val="36"/>
          <w:sz w:val="24"/>
          <w:szCs w:val="24"/>
        </w:rPr>
        <w:t xml:space="preserve">5 </w:t>
      </w:r>
      <w:r>
        <w:rPr>
          <w:rStyle w:val="36"/>
          <w:rFonts w:hint="eastAsia"/>
          <w:sz w:val="24"/>
          <w:szCs w:val="24"/>
        </w:rPr>
        <w:t>设计与供货界限及范围</w:t>
      </w:r>
      <w:r>
        <w:rPr>
          <w:sz w:val="24"/>
          <w:szCs w:val="24"/>
        </w:rPr>
        <w:tab/>
      </w:r>
      <w:r>
        <w:rPr>
          <w:sz w:val="24"/>
          <w:szCs w:val="24"/>
        </w:rPr>
        <w:fldChar w:fldCharType="begin"/>
      </w:r>
      <w:r>
        <w:rPr>
          <w:sz w:val="24"/>
          <w:szCs w:val="24"/>
        </w:rPr>
        <w:instrText xml:space="preserve"> PAGEREF _Toc255982370 \h </w:instrText>
      </w:r>
      <w:r>
        <w:rPr>
          <w:sz w:val="24"/>
          <w:szCs w:val="24"/>
        </w:rPr>
        <w:fldChar w:fldCharType="separate"/>
      </w:r>
      <w:r>
        <w:rPr>
          <w:sz w:val="24"/>
          <w:szCs w:val="24"/>
        </w:rPr>
        <w:t>6</w:t>
      </w:r>
      <w:r>
        <w:rPr>
          <w:sz w:val="24"/>
          <w:szCs w:val="24"/>
        </w:rPr>
        <w:fldChar w:fldCharType="end"/>
      </w:r>
      <w:r>
        <w:rPr>
          <w:sz w:val="24"/>
          <w:szCs w:val="24"/>
        </w:rPr>
        <w:fldChar w:fldCharType="end"/>
      </w:r>
    </w:p>
    <w:p>
      <w:pPr>
        <w:pStyle w:val="29"/>
        <w:spacing w:line="360" w:lineRule="auto"/>
        <w:rPr>
          <w:smallCaps w:val="0"/>
          <w:kern w:val="2"/>
          <w:sz w:val="24"/>
          <w:szCs w:val="24"/>
        </w:rPr>
      </w:pPr>
      <w:r>
        <w:fldChar w:fldCharType="begin"/>
      </w:r>
      <w:r>
        <w:instrText xml:space="preserve"> HYPERLINK \l "_Toc255982371" </w:instrText>
      </w:r>
      <w:r>
        <w:fldChar w:fldCharType="separate"/>
      </w:r>
      <w:r>
        <w:rPr>
          <w:rStyle w:val="36"/>
          <w:sz w:val="24"/>
          <w:szCs w:val="24"/>
        </w:rPr>
        <w:t>6</w:t>
      </w:r>
      <w:r>
        <w:rPr>
          <w:rStyle w:val="36"/>
          <w:rFonts w:hint="eastAsia"/>
          <w:sz w:val="24"/>
          <w:szCs w:val="24"/>
        </w:rPr>
        <w:t>技术服务</w:t>
      </w:r>
      <w:r>
        <w:rPr>
          <w:sz w:val="24"/>
          <w:szCs w:val="24"/>
        </w:rPr>
        <w:tab/>
      </w:r>
      <w:r>
        <w:rPr>
          <w:sz w:val="24"/>
          <w:szCs w:val="24"/>
        </w:rPr>
        <w:fldChar w:fldCharType="begin"/>
      </w:r>
      <w:r>
        <w:rPr>
          <w:sz w:val="24"/>
          <w:szCs w:val="24"/>
        </w:rPr>
        <w:instrText xml:space="preserve"> PAGEREF _Toc255982371 \h </w:instrText>
      </w:r>
      <w:r>
        <w:rPr>
          <w:sz w:val="24"/>
          <w:szCs w:val="24"/>
        </w:rPr>
        <w:fldChar w:fldCharType="separate"/>
      </w:r>
      <w:r>
        <w:rPr>
          <w:sz w:val="24"/>
          <w:szCs w:val="24"/>
        </w:rPr>
        <w:t>9</w:t>
      </w:r>
      <w:r>
        <w:rPr>
          <w:sz w:val="24"/>
          <w:szCs w:val="24"/>
        </w:rPr>
        <w:fldChar w:fldCharType="end"/>
      </w:r>
      <w:r>
        <w:rPr>
          <w:sz w:val="24"/>
          <w:szCs w:val="24"/>
        </w:rPr>
        <w:fldChar w:fldCharType="end"/>
      </w:r>
    </w:p>
    <w:p>
      <w:pPr>
        <w:pStyle w:val="29"/>
        <w:spacing w:line="360" w:lineRule="auto"/>
        <w:rPr>
          <w:smallCaps w:val="0"/>
          <w:kern w:val="2"/>
          <w:sz w:val="24"/>
          <w:szCs w:val="24"/>
        </w:rPr>
      </w:pPr>
      <w:r>
        <w:fldChar w:fldCharType="begin"/>
      </w:r>
      <w:r>
        <w:instrText xml:space="preserve"> HYPERLINK \l "_Toc255982372" </w:instrText>
      </w:r>
      <w:r>
        <w:fldChar w:fldCharType="separate"/>
      </w:r>
      <w:r>
        <w:rPr>
          <w:rStyle w:val="36"/>
          <w:sz w:val="24"/>
          <w:szCs w:val="24"/>
        </w:rPr>
        <w:t xml:space="preserve">7 </w:t>
      </w:r>
      <w:r>
        <w:rPr>
          <w:rStyle w:val="36"/>
          <w:rFonts w:hint="eastAsia"/>
          <w:sz w:val="24"/>
          <w:szCs w:val="24"/>
        </w:rPr>
        <w:t>技术文件和图纸交付进度</w:t>
      </w:r>
      <w:r>
        <w:rPr>
          <w:sz w:val="24"/>
          <w:szCs w:val="24"/>
        </w:rPr>
        <w:tab/>
      </w:r>
      <w:r>
        <w:rPr>
          <w:sz w:val="24"/>
          <w:szCs w:val="24"/>
        </w:rPr>
        <w:fldChar w:fldCharType="begin"/>
      </w:r>
      <w:r>
        <w:rPr>
          <w:sz w:val="24"/>
          <w:szCs w:val="24"/>
        </w:rPr>
        <w:instrText xml:space="preserve"> PAGEREF _Toc255982372 \h </w:instrText>
      </w:r>
      <w:r>
        <w:rPr>
          <w:sz w:val="24"/>
          <w:szCs w:val="24"/>
        </w:rPr>
        <w:fldChar w:fldCharType="separate"/>
      </w:r>
      <w:r>
        <w:rPr>
          <w:sz w:val="24"/>
          <w:szCs w:val="24"/>
        </w:rPr>
        <w:t>10</w:t>
      </w:r>
      <w:r>
        <w:rPr>
          <w:sz w:val="24"/>
          <w:szCs w:val="24"/>
        </w:rPr>
        <w:fldChar w:fldCharType="end"/>
      </w:r>
      <w:r>
        <w:rPr>
          <w:sz w:val="24"/>
          <w:szCs w:val="24"/>
        </w:rPr>
        <w:fldChar w:fldCharType="end"/>
      </w:r>
    </w:p>
    <w:p>
      <w:pPr>
        <w:pStyle w:val="29"/>
        <w:spacing w:line="360" w:lineRule="auto"/>
        <w:rPr>
          <w:smallCaps w:val="0"/>
          <w:kern w:val="2"/>
          <w:sz w:val="24"/>
          <w:szCs w:val="24"/>
        </w:rPr>
      </w:pPr>
      <w:r>
        <w:fldChar w:fldCharType="begin"/>
      </w:r>
      <w:r>
        <w:instrText xml:space="preserve"> HYPERLINK \l "_Toc255982373" </w:instrText>
      </w:r>
      <w:r>
        <w:fldChar w:fldCharType="separate"/>
      </w:r>
      <w:r>
        <w:rPr>
          <w:rStyle w:val="36"/>
          <w:sz w:val="24"/>
          <w:szCs w:val="24"/>
        </w:rPr>
        <w:t xml:space="preserve">8 </w:t>
      </w:r>
      <w:r>
        <w:rPr>
          <w:rStyle w:val="36"/>
          <w:rFonts w:hint="eastAsia"/>
          <w:sz w:val="24"/>
          <w:szCs w:val="24"/>
        </w:rPr>
        <w:t>质量保证和试验</w:t>
      </w:r>
      <w:r>
        <w:rPr>
          <w:sz w:val="24"/>
          <w:szCs w:val="24"/>
        </w:rPr>
        <w:tab/>
      </w:r>
      <w:r>
        <w:rPr>
          <w:sz w:val="24"/>
          <w:szCs w:val="24"/>
        </w:rPr>
        <w:fldChar w:fldCharType="begin"/>
      </w:r>
      <w:r>
        <w:rPr>
          <w:sz w:val="24"/>
          <w:szCs w:val="24"/>
        </w:rPr>
        <w:instrText xml:space="preserve"> PAGEREF _Toc255982373 \h </w:instrText>
      </w:r>
      <w:r>
        <w:rPr>
          <w:sz w:val="24"/>
          <w:szCs w:val="24"/>
        </w:rPr>
        <w:fldChar w:fldCharType="separate"/>
      </w:r>
      <w:r>
        <w:rPr>
          <w:sz w:val="24"/>
          <w:szCs w:val="24"/>
        </w:rPr>
        <w:t>11</w:t>
      </w:r>
      <w:r>
        <w:rPr>
          <w:sz w:val="24"/>
          <w:szCs w:val="24"/>
        </w:rPr>
        <w:fldChar w:fldCharType="end"/>
      </w:r>
      <w:r>
        <w:rPr>
          <w:sz w:val="24"/>
          <w:szCs w:val="24"/>
        </w:rPr>
        <w:fldChar w:fldCharType="end"/>
      </w:r>
    </w:p>
    <w:p>
      <w:pPr>
        <w:pStyle w:val="29"/>
        <w:spacing w:line="360" w:lineRule="auto"/>
        <w:rPr>
          <w:smallCaps w:val="0"/>
          <w:kern w:val="2"/>
          <w:sz w:val="24"/>
          <w:szCs w:val="24"/>
        </w:rPr>
      </w:pPr>
      <w:r>
        <w:fldChar w:fldCharType="begin"/>
      </w:r>
      <w:r>
        <w:instrText xml:space="preserve"> HYPERLINK \l "_Toc255982374" </w:instrText>
      </w:r>
      <w:r>
        <w:fldChar w:fldCharType="separate"/>
      </w:r>
      <w:r>
        <w:rPr>
          <w:rStyle w:val="36"/>
          <w:sz w:val="24"/>
          <w:szCs w:val="24"/>
        </w:rPr>
        <w:t xml:space="preserve">9 </w:t>
      </w:r>
      <w:r>
        <w:rPr>
          <w:rStyle w:val="36"/>
          <w:rFonts w:hint="eastAsia"/>
          <w:sz w:val="24"/>
          <w:szCs w:val="24"/>
        </w:rPr>
        <w:t>包装、运输和储存</w:t>
      </w:r>
      <w:r>
        <w:rPr>
          <w:sz w:val="24"/>
          <w:szCs w:val="24"/>
        </w:rPr>
        <w:tab/>
      </w:r>
      <w:r>
        <w:rPr>
          <w:sz w:val="24"/>
          <w:szCs w:val="24"/>
        </w:rPr>
        <w:fldChar w:fldCharType="begin"/>
      </w:r>
      <w:r>
        <w:rPr>
          <w:sz w:val="24"/>
          <w:szCs w:val="24"/>
        </w:rPr>
        <w:instrText xml:space="preserve"> PAGEREF _Toc255982374 \h </w:instrText>
      </w:r>
      <w:r>
        <w:rPr>
          <w:sz w:val="24"/>
          <w:szCs w:val="24"/>
        </w:rPr>
        <w:fldChar w:fldCharType="separate"/>
      </w:r>
      <w:r>
        <w:rPr>
          <w:sz w:val="24"/>
          <w:szCs w:val="24"/>
        </w:rPr>
        <w:t>12</w:t>
      </w:r>
      <w:r>
        <w:rPr>
          <w:sz w:val="24"/>
          <w:szCs w:val="24"/>
        </w:rPr>
        <w:fldChar w:fldCharType="end"/>
      </w:r>
      <w:r>
        <w:rPr>
          <w:sz w:val="24"/>
          <w:szCs w:val="24"/>
        </w:rPr>
        <w:fldChar w:fldCharType="end"/>
      </w:r>
    </w:p>
    <w:p>
      <w:pPr>
        <w:pStyle w:val="29"/>
        <w:spacing w:line="360" w:lineRule="auto"/>
        <w:rPr>
          <w:smallCaps w:val="0"/>
          <w:kern w:val="2"/>
          <w:sz w:val="24"/>
          <w:szCs w:val="24"/>
        </w:rPr>
      </w:pPr>
      <w:r>
        <w:fldChar w:fldCharType="begin"/>
      </w:r>
      <w:r>
        <w:instrText xml:space="preserve"> HYPERLINK \l "_Toc255982375" </w:instrText>
      </w:r>
      <w:r>
        <w:fldChar w:fldCharType="separate"/>
      </w:r>
      <w:r>
        <w:rPr>
          <w:rStyle w:val="36"/>
          <w:sz w:val="24"/>
          <w:szCs w:val="24"/>
        </w:rPr>
        <w:t xml:space="preserve">10 </w:t>
      </w:r>
      <w:r>
        <w:rPr>
          <w:rStyle w:val="36"/>
          <w:rFonts w:hint="eastAsia"/>
          <w:sz w:val="24"/>
          <w:szCs w:val="24"/>
        </w:rPr>
        <w:t>差异表</w:t>
      </w:r>
      <w:r>
        <w:rPr>
          <w:sz w:val="24"/>
          <w:szCs w:val="24"/>
        </w:rPr>
        <w:tab/>
      </w:r>
      <w:r>
        <w:rPr>
          <w:sz w:val="24"/>
          <w:szCs w:val="24"/>
        </w:rPr>
        <w:fldChar w:fldCharType="begin"/>
      </w:r>
      <w:r>
        <w:rPr>
          <w:sz w:val="24"/>
          <w:szCs w:val="24"/>
        </w:rPr>
        <w:instrText xml:space="preserve"> PAGEREF _Toc255982375 \h </w:instrText>
      </w:r>
      <w:r>
        <w:rPr>
          <w:sz w:val="24"/>
          <w:szCs w:val="24"/>
        </w:rPr>
        <w:fldChar w:fldCharType="separate"/>
      </w:r>
      <w:r>
        <w:rPr>
          <w:sz w:val="24"/>
          <w:szCs w:val="24"/>
        </w:rPr>
        <w:t>14</w:t>
      </w:r>
      <w:r>
        <w:rPr>
          <w:sz w:val="24"/>
          <w:szCs w:val="24"/>
        </w:rPr>
        <w:fldChar w:fldCharType="end"/>
      </w:r>
      <w:r>
        <w:rPr>
          <w:sz w:val="24"/>
          <w:szCs w:val="24"/>
        </w:rPr>
        <w:fldChar w:fldCharType="end"/>
      </w:r>
    </w:p>
    <w:p>
      <w:pPr>
        <w:tabs>
          <w:tab w:val="right" w:leader="dot" w:pos="8820"/>
        </w:tabs>
        <w:spacing w:line="360" w:lineRule="auto"/>
        <w:ind w:left="154" w:right="137" w:rightChars="57" w:hanging="153" w:hangingChars="64"/>
        <w:jc w:val="distribute"/>
        <w:rPr>
          <w:rStyle w:val="36"/>
          <w:rFonts w:ascii="宋体" w:hAnsi="宋体"/>
          <w:smallCaps/>
          <w:color w:val="auto"/>
          <w:sz w:val="20"/>
          <w:szCs w:val="20"/>
        </w:rPr>
        <w:sectPr>
          <w:pgSz w:w="11907" w:h="16840"/>
          <w:pgMar w:top="1474" w:right="1134" w:bottom="1474" w:left="1814" w:header="851" w:footer="851" w:gutter="0"/>
          <w:pgNumType w:start="1"/>
          <w:cols w:space="720" w:num="1"/>
          <w:docGrid w:linePitch="312" w:charSpace="0"/>
        </w:sectPr>
      </w:pPr>
      <w:r>
        <w:rPr>
          <w:smallCaps/>
          <w:kern w:val="0"/>
        </w:rPr>
        <w:fldChar w:fldCharType="end"/>
      </w:r>
    </w:p>
    <w:p>
      <w:pPr>
        <w:sectPr>
          <w:headerReference r:id="rId7" w:type="first"/>
          <w:footerReference r:id="rId8" w:type="first"/>
          <w:headerReference r:id="rId6" w:type="default"/>
          <w:type w:val="continuous"/>
          <w:pgSz w:w="11907" w:h="16840"/>
          <w:pgMar w:top="1474" w:right="1134" w:bottom="1474" w:left="1814" w:header="851" w:footer="851" w:gutter="0"/>
          <w:cols w:space="720" w:num="1"/>
          <w:docGrid w:linePitch="326" w:charSpace="0"/>
        </w:sectPr>
      </w:pPr>
    </w:p>
    <w:p>
      <w:pPr>
        <w:pStyle w:val="3"/>
        <w:spacing w:line="360" w:lineRule="auto"/>
        <w:rPr>
          <w:sz w:val="24"/>
          <w:szCs w:val="24"/>
        </w:rPr>
      </w:pPr>
      <w:bookmarkStart w:id="1" w:name="_Toc73869801"/>
      <w:bookmarkStart w:id="2" w:name="_Toc255982366"/>
      <w:bookmarkStart w:id="3" w:name="_Toc519862993"/>
      <w:bookmarkStart w:id="4" w:name="_Toc14681253"/>
      <w:bookmarkStart w:id="5" w:name="_Toc515705601"/>
      <w:bookmarkStart w:id="6" w:name="_Toc11761775"/>
      <w:r>
        <w:rPr>
          <w:sz w:val="24"/>
          <w:szCs w:val="24"/>
        </w:rPr>
        <w:t>1</w:t>
      </w:r>
      <w:r>
        <w:rPr>
          <w:rFonts w:hint="eastAsia"/>
          <w:sz w:val="24"/>
          <w:szCs w:val="24"/>
        </w:rPr>
        <w:t xml:space="preserve"> 总则</w:t>
      </w:r>
      <w:bookmarkEnd w:id="1"/>
      <w:bookmarkEnd w:id="2"/>
    </w:p>
    <w:p>
      <w:pPr>
        <w:spacing w:line="360" w:lineRule="auto"/>
        <w:rPr>
          <w:rFonts w:ascii="宋体" w:hAnsi="宋体"/>
        </w:rPr>
      </w:pPr>
      <w:r>
        <w:rPr>
          <w:rFonts w:hint="eastAsia" w:ascii="宋体" w:hAnsi="宋体"/>
        </w:rPr>
        <w:t>1.1本技术规范书适用于华能平凉电厂重大危险源综合治理改造工程项目配套设备斗式提升机，包括斗式提升机的本体及其驱动装置、辅助设备系统的功能设计、结构、性能、安装和试验等方面的技术要求。</w:t>
      </w:r>
    </w:p>
    <w:p>
      <w:pPr>
        <w:spacing w:line="360" w:lineRule="auto"/>
        <w:rPr>
          <w:rFonts w:ascii="宋体" w:hAnsi="宋体"/>
        </w:rPr>
      </w:pPr>
      <w:r>
        <w:rPr>
          <w:rFonts w:hint="eastAsia" w:ascii="宋体" w:hAnsi="宋体"/>
        </w:rPr>
        <w:t>1.</w:t>
      </w:r>
      <w:r>
        <w:rPr>
          <w:rFonts w:ascii="宋体" w:hAnsi="宋体"/>
        </w:rPr>
        <w:t>2</w:t>
      </w:r>
      <w:r>
        <w:rPr>
          <w:rFonts w:hint="eastAsia" w:ascii="宋体" w:hAnsi="宋体"/>
        </w:rPr>
        <w:t>本技术规范书所提出的是最低限度的技术要求，并未对一切技术细节作出规定，也未充分引述有关标准和规范的条文。供方保证提供符合技术规范书要求和现行中国或国际通用标准的优质产品。</w:t>
      </w:r>
    </w:p>
    <w:p>
      <w:pPr>
        <w:spacing w:line="360" w:lineRule="auto"/>
        <w:rPr>
          <w:rFonts w:ascii="宋体" w:hAnsi="宋体"/>
        </w:rPr>
      </w:pPr>
      <w:r>
        <w:rPr>
          <w:rFonts w:hint="eastAsia" w:ascii="宋体" w:hAnsi="宋体"/>
        </w:rPr>
        <w:t>1.</w:t>
      </w:r>
      <w:r>
        <w:rPr>
          <w:rFonts w:ascii="宋体" w:hAnsi="宋体"/>
        </w:rPr>
        <w:t>3</w:t>
      </w:r>
      <w:r>
        <w:rPr>
          <w:rFonts w:hint="eastAsia" w:ascii="宋体" w:hAnsi="宋体"/>
        </w:rPr>
        <w:t>供方提出的产品应完全符合本技术规范书的要求。</w:t>
      </w:r>
      <w:r>
        <w:rPr>
          <w:rFonts w:ascii="宋体" w:hAnsi="宋体"/>
        </w:rPr>
        <w:t>如</w:t>
      </w:r>
      <w:r>
        <w:rPr>
          <w:rFonts w:hint="eastAsia" w:ascii="宋体" w:hAnsi="宋体"/>
        </w:rPr>
        <w:t>供方</w:t>
      </w:r>
      <w:r>
        <w:rPr>
          <w:rFonts w:ascii="宋体" w:hAnsi="宋体"/>
        </w:rPr>
        <w:t>未对本技术规范书提出偏差，</w:t>
      </w:r>
      <w:r>
        <w:rPr>
          <w:rFonts w:hint="eastAsia" w:ascii="宋体" w:hAnsi="宋体"/>
        </w:rPr>
        <w:t>则</w:t>
      </w:r>
      <w:r>
        <w:rPr>
          <w:rFonts w:ascii="宋体" w:hAnsi="宋体"/>
        </w:rPr>
        <w:t>认为供方提供的设备符合技术规范书和标准的要求。偏差(无论</w:t>
      </w:r>
      <w:r>
        <w:rPr>
          <w:rFonts w:hint="eastAsia" w:ascii="宋体" w:hAnsi="宋体"/>
        </w:rPr>
        <w:t>多微小</w:t>
      </w:r>
      <w:r>
        <w:rPr>
          <w:rFonts w:ascii="宋体" w:hAnsi="宋体"/>
        </w:rPr>
        <w:t>)都必须清楚地</w:t>
      </w:r>
      <w:r>
        <w:rPr>
          <w:rFonts w:hint="eastAsia" w:ascii="宋体" w:hAnsi="宋体"/>
        </w:rPr>
        <w:t>书面</w:t>
      </w:r>
      <w:r>
        <w:rPr>
          <w:rFonts w:ascii="宋体" w:hAnsi="宋体"/>
        </w:rPr>
        <w:t>表示。</w:t>
      </w:r>
      <w:r>
        <w:rPr>
          <w:rFonts w:hint="eastAsia" w:ascii="宋体" w:hAnsi="宋体"/>
        </w:rPr>
        <w:t>并在报价中以“对规范书的意见和同规范书的差异”为标题加以详细描述。</w:t>
      </w:r>
    </w:p>
    <w:p>
      <w:pPr>
        <w:spacing w:line="360" w:lineRule="auto"/>
        <w:rPr>
          <w:rFonts w:ascii="宋体" w:hAnsi="宋体"/>
        </w:rPr>
      </w:pPr>
      <w:r>
        <w:rPr>
          <w:rFonts w:hint="eastAsia" w:ascii="宋体" w:hAnsi="宋体"/>
        </w:rPr>
        <w:t>1.</w:t>
      </w:r>
      <w:r>
        <w:rPr>
          <w:rFonts w:ascii="宋体" w:hAnsi="宋体"/>
        </w:rPr>
        <w:t>4</w:t>
      </w:r>
      <w:r>
        <w:rPr>
          <w:rFonts w:hint="eastAsia" w:ascii="宋体" w:hAnsi="宋体"/>
        </w:rPr>
        <w:t>供方提供的设备应是全新的和先进的，并经过运行实践已证明是完全成熟可靠的产品。</w:t>
      </w:r>
    </w:p>
    <w:p>
      <w:pPr>
        <w:spacing w:line="360" w:lineRule="auto"/>
        <w:rPr>
          <w:rFonts w:ascii="宋体" w:hAnsi="宋体"/>
        </w:rPr>
      </w:pPr>
      <w:r>
        <w:rPr>
          <w:rFonts w:hint="eastAsia" w:ascii="宋体" w:hAnsi="宋体"/>
        </w:rPr>
        <w:t>1.</w:t>
      </w:r>
      <w:r>
        <w:rPr>
          <w:rFonts w:ascii="宋体" w:hAnsi="宋体"/>
        </w:rPr>
        <w:t>5</w:t>
      </w:r>
      <w:r>
        <w:rPr>
          <w:rFonts w:hint="eastAsia" w:ascii="宋体" w:hAnsi="宋体"/>
        </w:rPr>
        <w:t>凡在供方设计范围之内的外购件或外购设备，供方至少要推荐2至3家产品供需方确认，而且需方有权单独采购，但技术上均由供方负责归口协调。</w:t>
      </w:r>
    </w:p>
    <w:p>
      <w:pPr>
        <w:spacing w:line="360" w:lineRule="auto"/>
      </w:pPr>
      <w:r>
        <w:rPr>
          <w:rFonts w:hint="eastAsia"/>
        </w:rPr>
        <w:t>1.</w:t>
      </w:r>
      <w:r>
        <w:t>6</w:t>
      </w:r>
      <w:r>
        <w:rPr>
          <w:rFonts w:hint="eastAsia"/>
        </w:rPr>
        <w:t>在签订合同之后，到供方开始制造之日的这段时间内，需方有权提出因规范、标准和规程发生变化而产生的一些补充修改要求，供方应遵守这个要求，具体款项内容由供需双方共同商定。</w:t>
      </w:r>
    </w:p>
    <w:p>
      <w:pPr>
        <w:spacing w:line="360" w:lineRule="auto"/>
        <w:rPr>
          <w:rFonts w:ascii="宋体" w:hAnsi="宋体"/>
        </w:rPr>
      </w:pPr>
      <w:r>
        <w:rPr>
          <w:rFonts w:hint="eastAsia" w:ascii="宋体" w:hAnsi="宋体"/>
        </w:rPr>
        <w:t>1.</w:t>
      </w:r>
      <w:r>
        <w:rPr>
          <w:rFonts w:ascii="宋体" w:hAnsi="宋体"/>
        </w:rPr>
        <w:t>7</w:t>
      </w:r>
      <w:r>
        <w:rPr>
          <w:rFonts w:hint="eastAsia" w:ascii="宋体" w:hAnsi="宋体"/>
        </w:rPr>
        <w:t>本技术规范书所使用的标准，如遇到与供方所执行的标准不一致时，按较高的标准执行，但不应低于最新中国国家标准。如果本技术规范书与现行使用的有关中国标准以及中国部颁标准有明显抵触的条文，供方及时书面通知需方进行解决。</w:t>
      </w:r>
    </w:p>
    <w:p>
      <w:pPr>
        <w:spacing w:line="360" w:lineRule="auto"/>
        <w:rPr>
          <w:rFonts w:ascii="宋体" w:hAnsi="宋体"/>
        </w:rPr>
      </w:pPr>
      <w:r>
        <w:rPr>
          <w:rFonts w:hint="eastAsia" w:ascii="宋体" w:hAnsi="宋体"/>
        </w:rPr>
        <w:t>1.</w:t>
      </w:r>
      <w:r>
        <w:rPr>
          <w:rFonts w:ascii="宋体" w:hAnsi="宋体"/>
        </w:rPr>
        <w:t>8</w:t>
      </w:r>
      <w:r>
        <w:rPr>
          <w:rFonts w:hint="eastAsia" w:ascii="宋体" w:hAnsi="宋体"/>
        </w:rPr>
        <w:t>本技术规范书为订货合同的附件，与合同正文具有同等效力。</w:t>
      </w:r>
    </w:p>
    <w:p>
      <w:pPr>
        <w:spacing w:line="360" w:lineRule="auto"/>
        <w:rPr>
          <w:rFonts w:ascii="宋体" w:hAnsi="宋体"/>
        </w:rPr>
      </w:pPr>
      <w:r>
        <w:rPr>
          <w:rFonts w:ascii="宋体" w:hAnsi="宋体"/>
        </w:rPr>
        <w:t>1</w:t>
      </w:r>
      <w:r>
        <w:rPr>
          <w:rFonts w:hint="eastAsia" w:ascii="宋体" w:hAnsi="宋体"/>
        </w:rPr>
        <w:t>.9采用国际单位制。</w:t>
      </w:r>
      <w:r>
        <w:rPr>
          <w:rFonts w:hint="eastAsia"/>
        </w:rPr>
        <w:t>投标时需提供电子版文件。图纸格式为*.dwg,文档格式为*.doc。图纸要求按比例绘制。</w:t>
      </w:r>
    </w:p>
    <w:p>
      <w:pPr>
        <w:spacing w:line="360" w:lineRule="auto"/>
      </w:pPr>
      <w:r>
        <w:rPr>
          <w:rFonts w:hint="eastAsia"/>
        </w:rPr>
        <w:t>1</w:t>
      </w:r>
      <w:r>
        <w:t>.10</w:t>
      </w:r>
      <w:r>
        <w:rPr>
          <w:rFonts w:hint="eastAsia"/>
        </w:rPr>
        <w:t>采用合肥星泰或同等质量产品。</w:t>
      </w:r>
    </w:p>
    <w:p>
      <w:pPr>
        <w:spacing w:line="360" w:lineRule="auto"/>
      </w:pPr>
    </w:p>
    <w:p>
      <w:pPr>
        <w:spacing w:line="360" w:lineRule="auto"/>
      </w:pPr>
    </w:p>
    <w:p>
      <w:pPr>
        <w:spacing w:line="360" w:lineRule="auto"/>
      </w:pPr>
    </w:p>
    <w:p>
      <w:pPr>
        <w:spacing w:line="360" w:lineRule="auto"/>
      </w:pPr>
    </w:p>
    <w:p>
      <w:pPr>
        <w:pStyle w:val="3"/>
        <w:spacing w:line="360" w:lineRule="auto"/>
        <w:rPr>
          <w:sz w:val="24"/>
          <w:szCs w:val="24"/>
        </w:rPr>
      </w:pPr>
      <w:bookmarkStart w:id="7" w:name="_Toc14483508"/>
      <w:bookmarkStart w:id="8" w:name="_Toc55289144"/>
      <w:bookmarkStart w:id="9" w:name="_Toc34016152"/>
      <w:bookmarkStart w:id="10" w:name="_Toc34015305"/>
      <w:bookmarkStart w:id="11" w:name="_Toc501817560"/>
      <w:bookmarkStart w:id="12" w:name="_Toc73869802"/>
      <w:bookmarkStart w:id="13" w:name="_Toc255982367"/>
      <w:bookmarkStart w:id="14" w:name="_Toc512332294"/>
      <w:bookmarkStart w:id="15" w:name="_Toc515705600"/>
      <w:bookmarkStart w:id="16" w:name="_Toc519862992"/>
      <w:bookmarkStart w:id="17" w:name="_Toc11761774"/>
      <w:r>
        <w:rPr>
          <w:rFonts w:hint="eastAsia"/>
          <w:sz w:val="24"/>
          <w:szCs w:val="24"/>
        </w:rPr>
        <w:t>2 工程概况</w:t>
      </w:r>
      <w:bookmarkEnd w:id="7"/>
      <w:bookmarkEnd w:id="8"/>
      <w:bookmarkEnd w:id="9"/>
      <w:bookmarkEnd w:id="10"/>
      <w:bookmarkEnd w:id="11"/>
      <w:bookmarkEnd w:id="12"/>
      <w:bookmarkEnd w:id="13"/>
      <w:bookmarkEnd w:id="14"/>
      <w:bookmarkEnd w:id="15"/>
      <w:bookmarkEnd w:id="16"/>
      <w:bookmarkEnd w:id="17"/>
    </w:p>
    <w:p>
      <w:pPr>
        <w:spacing w:line="360" w:lineRule="auto"/>
      </w:pPr>
      <w:bookmarkStart w:id="18" w:name="_Toc55289145"/>
      <w:bookmarkStart w:id="19" w:name="_Toc34016153"/>
      <w:bookmarkStart w:id="20" w:name="_Toc34015306"/>
      <w:r>
        <w:t>2.</w:t>
      </w:r>
      <w:r>
        <w:rPr>
          <w:rFonts w:hint="eastAsia"/>
        </w:rPr>
        <w:t>1 概述</w:t>
      </w:r>
    </w:p>
    <w:p>
      <w:pPr>
        <w:spacing w:line="360" w:lineRule="auto"/>
        <w:ind w:firstLine="504" w:firstLineChars="200"/>
      </w:pPr>
      <w:r>
        <w:rPr>
          <w:rFonts w:hint="eastAsia"/>
          <w:spacing w:val="6"/>
        </w:rPr>
        <w:t>本液氨改尿素项目</w:t>
      </w:r>
      <w:r>
        <w:rPr>
          <w:rFonts w:hint="eastAsia" w:hAnsi="宋体"/>
          <w:snapToGrid w:val="0"/>
          <w:kern w:val="0"/>
        </w:rPr>
        <w:t>袋装尿素经人工拆袋后，利用斗式提升机投入尿素溶解罐，在溶解罐中用去离子水将干尿素溶解成</w:t>
      </w:r>
      <w:r>
        <w:rPr>
          <w:snapToGrid w:val="0"/>
          <w:kern w:val="0"/>
        </w:rPr>
        <w:t>40~60%</w:t>
      </w:r>
      <w:r>
        <w:rPr>
          <w:rFonts w:hint="eastAsia" w:hAnsi="宋体"/>
          <w:snapToGrid w:val="0"/>
          <w:kern w:val="0"/>
        </w:rPr>
        <w:t>质量浓度的尿素溶液，通过尿素输送泵输送到尿素溶液储罐。</w:t>
      </w:r>
    </w:p>
    <w:p>
      <w:pPr>
        <w:topLinePunct/>
        <w:adjustRightInd w:val="0"/>
        <w:snapToGrid w:val="0"/>
        <w:spacing w:line="360" w:lineRule="auto"/>
        <w:ind w:firstLine="504" w:firstLineChars="200"/>
        <w:rPr>
          <w:color w:val="FF0000"/>
          <w:spacing w:val="6"/>
          <w:highlight w:val="yellow"/>
        </w:rPr>
      </w:pPr>
      <w:r>
        <w:rPr>
          <w:rFonts w:hint="eastAsia"/>
          <w:spacing w:val="6"/>
        </w:rPr>
        <w:t>尿素溶解罐为3</w:t>
      </w:r>
      <w:r>
        <w:rPr>
          <w:spacing w:val="6"/>
        </w:rPr>
        <w:t>16L</w:t>
      </w:r>
      <w:r>
        <w:rPr>
          <w:rFonts w:hint="eastAsia"/>
          <w:spacing w:val="6"/>
        </w:rPr>
        <w:t>材质，其支撑结构为混凝土结构形式，尿素溶解罐按</w:t>
      </w:r>
      <w:r>
        <w:rPr>
          <w:spacing w:val="6"/>
        </w:rPr>
        <w:t>2</w:t>
      </w:r>
      <w:r>
        <w:rPr>
          <w:rFonts w:hint="eastAsia"/>
          <w:spacing w:val="6"/>
        </w:rPr>
        <w:t>台设计。本期工程设置</w:t>
      </w:r>
      <w:r>
        <w:rPr>
          <w:spacing w:val="6"/>
        </w:rPr>
        <w:t>2</w:t>
      </w:r>
      <w:r>
        <w:rPr>
          <w:rFonts w:hint="eastAsia"/>
          <w:spacing w:val="6"/>
        </w:rPr>
        <w:t>台尿素颗粒斗式提升机。斗式提升机出力为</w:t>
      </w:r>
      <w:r>
        <w:rPr>
          <w:spacing w:val="6"/>
        </w:rPr>
        <w:t>10</w:t>
      </w:r>
      <w:r>
        <w:rPr>
          <w:rFonts w:hint="eastAsia"/>
          <w:spacing w:val="6"/>
        </w:rPr>
        <w:t>t/h</w:t>
      </w:r>
      <w:r>
        <w:rPr>
          <w:rFonts w:hint="eastAsia"/>
          <w:color w:val="FF0000"/>
          <w:spacing w:val="6"/>
        </w:rPr>
        <w:t>。</w:t>
      </w:r>
    </w:p>
    <w:p>
      <w:pPr>
        <w:spacing w:line="360" w:lineRule="auto"/>
      </w:pPr>
      <w:r>
        <w:rPr>
          <w:rFonts w:hint="eastAsia"/>
        </w:rPr>
        <w:t>2.2 厂址条件</w:t>
      </w:r>
    </w:p>
    <w:p>
      <w:pPr>
        <w:widowControl/>
        <w:spacing w:line="300" w:lineRule="auto"/>
        <w:ind w:firstLine="480"/>
        <w:rPr>
          <w:szCs w:val="22"/>
        </w:rPr>
      </w:pPr>
      <w:r>
        <w:rPr>
          <w:rFonts w:hint="eastAsia"/>
          <w:szCs w:val="22"/>
        </w:rPr>
        <w:t>华能平凉电厂系大型坑口火力发电厂，地处</w:t>
      </w:r>
      <w:r>
        <w:rPr>
          <w:szCs w:val="22"/>
        </w:rPr>
        <w:t>陕、甘、宁交界的</w:t>
      </w:r>
      <w:r>
        <w:rPr>
          <w:rFonts w:hint="eastAsia"/>
          <w:szCs w:val="22"/>
        </w:rPr>
        <w:t>平凉市以东10公里处的二十里铺，北邻泾河，南靠西兰公路，厂区占地面积56公顷。</w:t>
      </w:r>
    </w:p>
    <w:p>
      <w:pPr>
        <w:widowControl/>
        <w:spacing w:line="300" w:lineRule="auto"/>
        <w:ind w:firstLine="480"/>
        <w:rPr>
          <w:szCs w:val="22"/>
        </w:rPr>
      </w:pPr>
      <w:r>
        <w:rPr>
          <w:rFonts w:hint="eastAsia"/>
          <w:szCs w:val="22"/>
        </w:rPr>
        <w:t>平凉市位于甘肃省东部，陕、甘、宁三省（区）交汇处，横跨陇山（关山），东临陕西咸阳，西连甘肃定西、白银，南接陕西宝鸡和甘肃天水，北与宁夏固原、甘肃庆阳毗邻，是古“丝绸之路”必经重镇。</w:t>
      </w:r>
    </w:p>
    <w:p>
      <w:pPr>
        <w:topLinePunct/>
        <w:adjustRightInd w:val="0"/>
        <w:snapToGrid w:val="0"/>
        <w:spacing w:line="360" w:lineRule="auto"/>
        <w:ind w:firstLine="480" w:firstLineChars="200"/>
        <w:rPr>
          <w:spacing w:val="6"/>
        </w:rPr>
      </w:pPr>
      <w:r>
        <w:rPr>
          <w:rFonts w:hint="eastAsia"/>
          <w:szCs w:val="22"/>
        </w:rPr>
        <w:t>平凉市地处中纬度内陆，属大陆性季风气候，全年大部分时间受高空西风环流影响，全年盛行偏西北风或偏东南风。冬半年（10至4月）地面为蒙古冷高压控制，干冷的极地大陆气团使降水稀少，天气晴朗而寒冷；夏半年（5至9月）高空西风带波动活跃，地面气压场改变，为多移动性低气压，降水增多，盛夏付高强盛时常北跳和西进，形成高温晴朗干燥的天气。</w:t>
      </w:r>
    </w:p>
    <w:p>
      <w:pPr>
        <w:spacing w:line="360" w:lineRule="auto"/>
      </w:pPr>
      <w:r>
        <w:rPr>
          <w:rFonts w:hint="eastAsia"/>
        </w:rPr>
        <w:t>2.3 气候与气象条件</w:t>
      </w:r>
    </w:p>
    <w:p>
      <w:pPr>
        <w:widowControl/>
        <w:spacing w:line="300" w:lineRule="auto"/>
        <w:ind w:firstLine="480"/>
        <w:rPr>
          <w:szCs w:val="22"/>
        </w:rPr>
      </w:pPr>
      <w:bookmarkStart w:id="21" w:name="_Toc73869803"/>
      <w:bookmarkStart w:id="22" w:name="_Toc255982368"/>
      <w:r>
        <w:rPr>
          <w:rFonts w:hint="eastAsia"/>
          <w:szCs w:val="22"/>
        </w:rPr>
        <w:t>多年平均气压：866.0mb。</w:t>
      </w:r>
    </w:p>
    <w:p>
      <w:pPr>
        <w:widowControl/>
        <w:spacing w:line="300" w:lineRule="auto"/>
        <w:ind w:firstLine="480"/>
        <w:rPr>
          <w:szCs w:val="22"/>
        </w:rPr>
      </w:pPr>
      <w:r>
        <w:rPr>
          <w:rFonts w:hint="eastAsia"/>
          <w:szCs w:val="22"/>
        </w:rPr>
        <w:t>气温：多年平均气温为8.6℃，极端最高气温为37.3℃，极端最低气温为</w:t>
      </w:r>
      <w:r>
        <w:rPr>
          <w:szCs w:val="22"/>
        </w:rPr>
        <w:t>-</w:t>
      </w:r>
      <w:r>
        <w:rPr>
          <w:rFonts w:hint="eastAsia"/>
          <w:szCs w:val="22"/>
        </w:rPr>
        <w:t>24.3℃，多年平均最高气温为15.0℃，多年平均最低气温为3.4℃。</w:t>
      </w:r>
    </w:p>
    <w:p>
      <w:pPr>
        <w:widowControl/>
        <w:spacing w:line="300" w:lineRule="auto"/>
        <w:ind w:firstLine="480"/>
        <w:rPr>
          <w:szCs w:val="22"/>
        </w:rPr>
      </w:pPr>
      <w:r>
        <w:rPr>
          <w:rFonts w:hint="eastAsia"/>
          <w:szCs w:val="22"/>
        </w:rPr>
        <w:t>湿度：多年平均相对湿度64</w:t>
      </w:r>
      <w:r>
        <w:rPr>
          <w:szCs w:val="22"/>
        </w:rPr>
        <w:t>％</w:t>
      </w:r>
      <w:r>
        <w:rPr>
          <w:rFonts w:hint="eastAsia"/>
          <w:szCs w:val="22"/>
        </w:rPr>
        <w:t>，多年最小相对湿度0</w:t>
      </w:r>
      <w:r>
        <w:rPr>
          <w:szCs w:val="22"/>
        </w:rPr>
        <w:t>％</w:t>
      </w:r>
      <w:r>
        <w:rPr>
          <w:rFonts w:hint="eastAsia"/>
          <w:szCs w:val="22"/>
        </w:rPr>
        <w:t>，多年平均绝对湿度8.5mb，多年最小绝对湿度0.0mb，多年最大绝对湿度28.0mb。</w:t>
      </w:r>
    </w:p>
    <w:p>
      <w:pPr>
        <w:widowControl/>
        <w:spacing w:line="300" w:lineRule="auto"/>
        <w:ind w:firstLine="480"/>
        <w:rPr>
          <w:szCs w:val="22"/>
        </w:rPr>
      </w:pPr>
      <w:r>
        <w:rPr>
          <w:rFonts w:hint="eastAsia"/>
          <w:szCs w:val="22"/>
        </w:rPr>
        <w:t>降水量：多年平均降水量为511.2</w:t>
      </w:r>
      <w:r>
        <w:rPr>
          <w:szCs w:val="22"/>
        </w:rPr>
        <w:t>mm</w:t>
      </w:r>
      <w:r>
        <w:rPr>
          <w:rFonts w:hint="eastAsia"/>
          <w:szCs w:val="22"/>
        </w:rPr>
        <w:t>，一日最大降水量为90</w:t>
      </w:r>
      <w:r>
        <w:rPr>
          <w:szCs w:val="22"/>
        </w:rPr>
        <w:t>.0mm</w:t>
      </w:r>
      <w:r>
        <w:rPr>
          <w:rFonts w:hint="eastAsia"/>
          <w:szCs w:val="22"/>
        </w:rPr>
        <w:t>，平均降水日数94.8天，</w:t>
      </w:r>
    </w:p>
    <w:p>
      <w:pPr>
        <w:widowControl/>
        <w:spacing w:line="300" w:lineRule="auto"/>
        <w:ind w:firstLine="480"/>
        <w:rPr>
          <w:szCs w:val="22"/>
        </w:rPr>
      </w:pPr>
      <w:r>
        <w:rPr>
          <w:rFonts w:hint="eastAsia"/>
          <w:szCs w:val="22"/>
        </w:rPr>
        <w:t>蒸发量：多年平均蒸发量1468.8</w:t>
      </w:r>
      <w:r>
        <w:rPr>
          <w:szCs w:val="22"/>
        </w:rPr>
        <w:t>mm</w:t>
      </w:r>
      <w:r>
        <w:rPr>
          <w:rFonts w:hint="eastAsia"/>
          <w:szCs w:val="22"/>
        </w:rPr>
        <w:t>。</w:t>
      </w:r>
    </w:p>
    <w:p>
      <w:pPr>
        <w:widowControl/>
        <w:spacing w:line="300" w:lineRule="auto"/>
        <w:ind w:firstLine="480"/>
        <w:rPr>
          <w:szCs w:val="22"/>
        </w:rPr>
      </w:pPr>
      <w:r>
        <w:rPr>
          <w:rFonts w:hint="eastAsia"/>
          <w:szCs w:val="22"/>
        </w:rPr>
        <w:t>风：主导风向为西北风，多年平均风速2</w:t>
      </w:r>
      <w:r>
        <w:rPr>
          <w:szCs w:val="22"/>
        </w:rPr>
        <w:t>.</w:t>
      </w:r>
      <w:r>
        <w:rPr>
          <w:rFonts w:hint="eastAsia"/>
          <w:szCs w:val="22"/>
        </w:rPr>
        <w:t>1</w:t>
      </w:r>
      <w:r>
        <w:rPr>
          <w:szCs w:val="22"/>
        </w:rPr>
        <w:t>m/s</w:t>
      </w:r>
      <w:r>
        <w:rPr>
          <w:rFonts w:hint="eastAsia"/>
          <w:szCs w:val="22"/>
        </w:rPr>
        <w:t>，最大风速（三十年一遇10米高，10分钟平均）21.4</w:t>
      </w:r>
      <w:r>
        <w:rPr>
          <w:szCs w:val="22"/>
        </w:rPr>
        <w:t xml:space="preserve"> m/s</w:t>
      </w:r>
      <w:r>
        <w:rPr>
          <w:rFonts w:hint="eastAsia"/>
          <w:szCs w:val="22"/>
        </w:rPr>
        <w:t>，推荐风压350Pa。</w:t>
      </w:r>
    </w:p>
    <w:p>
      <w:pPr>
        <w:widowControl/>
        <w:spacing w:line="300" w:lineRule="auto"/>
        <w:ind w:firstLine="480"/>
        <w:rPr>
          <w:szCs w:val="22"/>
        </w:rPr>
      </w:pPr>
      <w:r>
        <w:rPr>
          <w:rFonts w:hint="eastAsia"/>
          <w:szCs w:val="22"/>
        </w:rPr>
        <w:t>土壤最大冻结深度：620</w:t>
      </w:r>
      <w:r>
        <w:rPr>
          <w:szCs w:val="22"/>
        </w:rPr>
        <w:t>mm</w:t>
      </w:r>
      <w:r>
        <w:rPr>
          <w:rFonts w:hint="eastAsia"/>
          <w:szCs w:val="22"/>
        </w:rPr>
        <w:t>。</w:t>
      </w:r>
    </w:p>
    <w:p>
      <w:pPr>
        <w:widowControl/>
        <w:spacing w:line="300" w:lineRule="auto"/>
        <w:ind w:firstLine="480"/>
        <w:rPr>
          <w:szCs w:val="22"/>
        </w:rPr>
      </w:pPr>
      <w:r>
        <w:rPr>
          <w:rFonts w:hint="eastAsia"/>
          <w:szCs w:val="22"/>
        </w:rPr>
        <w:t>最大积雪厚度：140</w:t>
      </w:r>
      <w:r>
        <w:rPr>
          <w:szCs w:val="22"/>
        </w:rPr>
        <w:t>mm</w:t>
      </w:r>
      <w:r>
        <w:rPr>
          <w:rFonts w:hint="eastAsia"/>
          <w:szCs w:val="22"/>
        </w:rPr>
        <w:t>。</w:t>
      </w:r>
    </w:p>
    <w:p>
      <w:pPr>
        <w:pStyle w:val="3"/>
        <w:spacing w:line="360" w:lineRule="auto"/>
        <w:rPr>
          <w:sz w:val="24"/>
          <w:szCs w:val="24"/>
        </w:rPr>
      </w:pPr>
      <w:r>
        <w:rPr>
          <w:rFonts w:hint="eastAsia"/>
          <w:sz w:val="24"/>
          <w:szCs w:val="24"/>
        </w:rPr>
        <w:t>3设计和运行条件</w:t>
      </w:r>
      <w:bookmarkEnd w:id="18"/>
      <w:bookmarkEnd w:id="19"/>
      <w:bookmarkEnd w:id="20"/>
      <w:bookmarkEnd w:id="21"/>
      <w:bookmarkEnd w:id="22"/>
    </w:p>
    <w:p>
      <w:pPr>
        <w:spacing w:line="360" w:lineRule="auto"/>
        <w:rPr>
          <w:rFonts w:ascii="宋体" w:hAnsi="宋体"/>
        </w:rPr>
      </w:pPr>
      <w:r>
        <w:rPr>
          <w:rFonts w:ascii="宋体" w:hAnsi="宋体"/>
        </w:rPr>
        <w:t>3.</w:t>
      </w:r>
      <w:r>
        <w:rPr>
          <w:rFonts w:hint="eastAsia" w:ascii="宋体" w:hAnsi="宋体"/>
        </w:rPr>
        <w:t>1主要设计参数</w:t>
      </w:r>
    </w:p>
    <w:p>
      <w:pPr>
        <w:spacing w:line="360" w:lineRule="auto"/>
        <w:ind w:firstLine="480" w:firstLineChars="200"/>
        <w:rPr>
          <w:rFonts w:ascii="宋体" w:hAnsi="宋体"/>
        </w:rPr>
      </w:pPr>
      <w:r>
        <w:rPr>
          <w:rFonts w:hint="eastAsia" w:ascii="宋体" w:hAnsi="宋体"/>
        </w:rPr>
        <w:t>本工程所用尿素颗粒由电厂供应。</w:t>
      </w:r>
    </w:p>
    <w:bookmarkEnd w:id="3"/>
    <w:bookmarkEnd w:id="4"/>
    <w:bookmarkEnd w:id="5"/>
    <w:bookmarkEnd w:id="6"/>
    <w:p>
      <w:pPr>
        <w:spacing w:line="360" w:lineRule="auto"/>
        <w:ind w:firstLine="480" w:firstLineChars="200"/>
      </w:pPr>
      <w:r>
        <w:rPr>
          <w:rFonts w:hint="eastAsia"/>
        </w:rPr>
        <w:t>工业用尿素的质量指标：</w:t>
      </w:r>
      <w:r>
        <w:t>(GB 2440</w:t>
      </w:r>
      <w:r>
        <w:rPr>
          <w:rFonts w:hint="eastAsia"/>
        </w:rPr>
        <w:t>一</w:t>
      </w:r>
      <w:r>
        <w:t>2001)</w:t>
      </w:r>
    </w:p>
    <w:p>
      <w:pPr>
        <w:spacing w:line="360" w:lineRule="auto"/>
        <w:ind w:firstLine="480" w:firstLineChars="200"/>
      </w:pPr>
      <w:r>
        <w:rPr>
          <w:rFonts w:hint="eastAsia"/>
        </w:rPr>
        <w:t>指标名称：一等品合格品</w:t>
      </w:r>
    </w:p>
    <w:p>
      <w:pPr>
        <w:spacing w:line="360" w:lineRule="auto"/>
        <w:ind w:firstLine="480" w:firstLineChars="200"/>
      </w:pPr>
      <w:r>
        <w:rPr>
          <w:rFonts w:hint="eastAsia"/>
        </w:rPr>
        <w:t>外观：白色颗粒或结晶</w:t>
      </w:r>
    </w:p>
    <w:p>
      <w:pPr>
        <w:spacing w:line="360" w:lineRule="auto"/>
        <w:ind w:firstLine="480" w:firstLineChars="200"/>
      </w:pPr>
      <w:r>
        <w:rPr>
          <w:rFonts w:hint="eastAsia"/>
        </w:rPr>
        <w:t>总含氮</w:t>
      </w:r>
      <w:r>
        <w:t>(N)</w:t>
      </w:r>
      <w:r>
        <w:rPr>
          <w:rFonts w:hint="eastAsia"/>
        </w:rPr>
        <w:t>量</w:t>
      </w:r>
      <w:r>
        <w:t>(</w:t>
      </w:r>
      <w:r>
        <w:rPr>
          <w:rFonts w:hint="eastAsia"/>
        </w:rPr>
        <w:t>以干基计</w:t>
      </w:r>
      <w:r>
        <w:t>)</w:t>
      </w:r>
      <w:r>
        <w:rPr>
          <w:rFonts w:hint="eastAsia"/>
        </w:rPr>
        <w:t>的质量分数</w:t>
      </w:r>
      <w:r>
        <w:t>/%≥        46.3             46.3</w:t>
      </w:r>
    </w:p>
    <w:p>
      <w:pPr>
        <w:spacing w:line="360" w:lineRule="auto"/>
        <w:ind w:firstLine="480" w:firstLineChars="200"/>
      </w:pPr>
      <w:r>
        <w:rPr>
          <w:rFonts w:hint="eastAsia"/>
        </w:rPr>
        <w:t>缩二脲含量</w:t>
      </w:r>
      <w:r>
        <w:t>/%≤                            -0.50             1.00</w:t>
      </w:r>
    </w:p>
    <w:p>
      <w:pPr>
        <w:spacing w:line="360" w:lineRule="auto"/>
        <w:ind w:firstLine="480" w:firstLineChars="200"/>
      </w:pPr>
      <w:r>
        <w:rPr>
          <w:rFonts w:hint="eastAsia"/>
        </w:rPr>
        <w:t>铁</w:t>
      </w:r>
      <w:r>
        <w:t>(Fe)</w:t>
      </w:r>
      <w:r>
        <w:rPr>
          <w:rFonts w:hint="eastAsia"/>
        </w:rPr>
        <w:t>含量</w:t>
      </w:r>
      <w:r>
        <w:t>/%≤                             0.0005           0.001</w:t>
      </w:r>
    </w:p>
    <w:p>
      <w:pPr>
        <w:spacing w:line="360" w:lineRule="auto"/>
        <w:ind w:firstLine="480" w:firstLineChars="200"/>
      </w:pPr>
      <w:r>
        <w:rPr>
          <w:rFonts w:hint="eastAsia"/>
        </w:rPr>
        <w:t>碱度</w:t>
      </w:r>
      <w:r>
        <w:t>(</w:t>
      </w:r>
      <w:r>
        <w:rPr>
          <w:rFonts w:hint="eastAsia"/>
        </w:rPr>
        <w:t>以</w:t>
      </w:r>
      <w:r>
        <w:t>NH3</w:t>
      </w:r>
      <w:r>
        <w:rPr>
          <w:rFonts w:hint="eastAsia"/>
        </w:rPr>
        <w:t>含量计</w:t>
      </w:r>
      <w:r>
        <w:t>)/%≤                    0.015            0.030</w:t>
      </w:r>
    </w:p>
    <w:p>
      <w:pPr>
        <w:spacing w:line="360" w:lineRule="auto"/>
        <w:ind w:firstLine="480" w:firstLineChars="200"/>
      </w:pPr>
      <w:r>
        <w:rPr>
          <w:rFonts w:hint="eastAsia"/>
        </w:rPr>
        <w:t>水中不溶物含量</w:t>
      </w:r>
      <w:r>
        <w:t>/%≤                        0.01             0.04</w:t>
      </w:r>
    </w:p>
    <w:p>
      <w:pPr>
        <w:spacing w:line="360" w:lineRule="auto"/>
        <w:ind w:firstLine="480" w:firstLineChars="200"/>
      </w:pPr>
      <w:r>
        <w:rPr>
          <w:rFonts w:hint="eastAsia"/>
        </w:rPr>
        <w:t>水分</w:t>
      </w:r>
      <w:r>
        <w:t>/%≤                                  0.50             1.00</w:t>
      </w:r>
    </w:p>
    <w:p>
      <w:pPr>
        <w:spacing w:line="360" w:lineRule="auto"/>
        <w:ind w:firstLine="480" w:firstLineChars="200"/>
      </w:pPr>
      <w:r>
        <w:rPr>
          <w:rFonts w:hint="eastAsia"/>
        </w:rPr>
        <w:t>粒度</w:t>
      </w:r>
      <w:r>
        <w:t>(φ0.8</w:t>
      </w:r>
      <w:r>
        <w:rPr>
          <w:rFonts w:hint="eastAsia"/>
        </w:rPr>
        <w:t>～</w:t>
      </w:r>
      <w:r>
        <w:t>2.5mm)/%≥                      90               90</w:t>
      </w:r>
    </w:p>
    <w:p>
      <w:pPr>
        <w:spacing w:line="360" w:lineRule="auto"/>
      </w:pPr>
      <w:r>
        <w:rPr>
          <w:rFonts w:hint="eastAsia" w:ascii="宋体" w:hAnsi="宋体"/>
        </w:rPr>
        <w:t>3.</w:t>
      </w:r>
      <w:r>
        <w:rPr>
          <w:rFonts w:ascii="宋体" w:hAnsi="宋体"/>
        </w:rPr>
        <w:t>2</w:t>
      </w:r>
      <w:r>
        <w:rPr>
          <w:rFonts w:hint="eastAsia"/>
        </w:rPr>
        <w:t>设备运行方式、运行条件及主要设计参数</w:t>
      </w:r>
    </w:p>
    <w:p>
      <w:pPr>
        <w:spacing w:line="360" w:lineRule="auto"/>
        <w:jc w:val="left"/>
        <w:rPr>
          <w:rFonts w:ascii="宋体"/>
        </w:rPr>
      </w:pPr>
      <w:r>
        <w:rPr>
          <w:rFonts w:hint="eastAsia" w:ascii="宋体"/>
        </w:rPr>
        <w:t xml:space="preserve">斗式提升机数量：        </w:t>
      </w:r>
      <w:r>
        <w:rPr>
          <w:rFonts w:hint="eastAsia" w:ascii="宋体" w:hAnsi="宋体"/>
          <w:u w:val="single"/>
        </w:rPr>
        <w:t xml:space="preserve">  </w:t>
      </w:r>
      <w:r>
        <w:rPr>
          <w:rFonts w:ascii="宋体" w:hAnsi="宋体"/>
          <w:u w:val="single"/>
        </w:rPr>
        <w:t>2</w:t>
      </w:r>
      <w:r>
        <w:rPr>
          <w:rFonts w:hint="eastAsia" w:ascii="宋体" w:hAnsi="宋体"/>
          <w:u w:val="single"/>
        </w:rPr>
        <w:t xml:space="preserve">  </w:t>
      </w:r>
      <w:r>
        <w:rPr>
          <w:rFonts w:hint="eastAsia" w:ascii="宋体"/>
        </w:rPr>
        <w:t xml:space="preserve"> 台</w:t>
      </w:r>
    </w:p>
    <w:p>
      <w:pPr>
        <w:spacing w:line="360" w:lineRule="auto"/>
        <w:rPr>
          <w:rFonts w:ascii="宋体"/>
        </w:rPr>
      </w:pPr>
      <w:r>
        <w:rPr>
          <w:rFonts w:hint="eastAsia" w:ascii="宋体"/>
        </w:rPr>
        <w:t xml:space="preserve">斗式提升机出力：        </w:t>
      </w:r>
      <w:r>
        <w:rPr>
          <w:rFonts w:ascii="宋体" w:hAnsi="宋体"/>
          <w:highlight w:val="yellow"/>
          <w:u w:val="single"/>
        </w:rPr>
        <w:t>10</w:t>
      </w:r>
      <w:r>
        <w:rPr>
          <w:rFonts w:hint="eastAsia" w:ascii="宋体" w:hAnsi="宋体"/>
          <w:highlight w:val="yellow"/>
          <w:u w:val="single"/>
        </w:rPr>
        <w:t xml:space="preserve"> </w:t>
      </w:r>
      <w:r>
        <w:rPr>
          <w:rFonts w:hint="eastAsia" w:ascii="宋体"/>
        </w:rPr>
        <w:t xml:space="preserve"> t/h   （干态尿素颗粒原料量）</w:t>
      </w:r>
    </w:p>
    <w:p>
      <w:pPr>
        <w:spacing w:line="360" w:lineRule="auto"/>
        <w:rPr>
          <w:rFonts w:ascii="宋体"/>
        </w:rPr>
      </w:pPr>
      <w:r>
        <w:rPr>
          <w:rFonts w:hint="eastAsia" w:ascii="宋体"/>
        </w:rPr>
        <w:t xml:space="preserve">溶解罐高度： </w:t>
      </w:r>
      <w:r>
        <w:rPr>
          <w:rFonts w:hint="eastAsia" w:ascii="宋体" w:hAnsi="宋体"/>
          <w:color w:val="FF0000"/>
          <w:highlight w:val="yellow"/>
          <w:u w:val="single"/>
        </w:rPr>
        <w:t xml:space="preserve"> </w:t>
      </w:r>
      <w:r>
        <w:rPr>
          <w:rFonts w:ascii="宋体" w:hAnsi="宋体"/>
          <w:color w:val="FF0000"/>
          <w:highlight w:val="yellow"/>
          <w:u w:val="single"/>
        </w:rPr>
        <w:t>5.5</w:t>
      </w:r>
      <w:r>
        <w:rPr>
          <w:rFonts w:hint="eastAsia" w:ascii="宋体" w:hAnsi="宋体"/>
          <w:color w:val="FF0000"/>
          <w:highlight w:val="yellow"/>
          <w:u w:val="single"/>
        </w:rPr>
        <w:t xml:space="preserve"> </w:t>
      </w:r>
      <w:r>
        <w:rPr>
          <w:rFonts w:hint="eastAsia" w:ascii="宋体"/>
        </w:rPr>
        <w:t xml:space="preserve"> m </w:t>
      </w:r>
      <w:r>
        <w:rPr>
          <w:rFonts w:hint="eastAsia" w:ascii="宋体" w:hAnsi="宋体"/>
        </w:rPr>
        <w:t>（料斗1</w:t>
      </w:r>
      <w:r>
        <w:rPr>
          <w:rFonts w:ascii="宋体" w:hAnsi="宋体"/>
        </w:rPr>
        <w:t>m</w:t>
      </w:r>
      <w:r>
        <w:rPr>
          <w:rFonts w:hint="eastAsia" w:ascii="宋体" w:hAnsi="宋体"/>
        </w:rPr>
        <w:t>，</w:t>
      </w:r>
      <w:r>
        <w:rPr>
          <w:rFonts w:hint="eastAsia" w:ascii="宋体"/>
        </w:rPr>
        <w:t>以最终设计资料为准）</w:t>
      </w:r>
    </w:p>
    <w:p>
      <w:pPr>
        <w:pStyle w:val="3"/>
        <w:spacing w:line="360" w:lineRule="auto"/>
        <w:rPr>
          <w:sz w:val="24"/>
          <w:szCs w:val="24"/>
        </w:rPr>
      </w:pPr>
      <w:bookmarkStart w:id="23" w:name="_Toc255982369"/>
      <w:r>
        <w:rPr>
          <w:rFonts w:hint="eastAsia"/>
          <w:sz w:val="24"/>
          <w:szCs w:val="24"/>
        </w:rPr>
        <w:t>4技术要求</w:t>
      </w:r>
      <w:bookmarkEnd w:id="23"/>
    </w:p>
    <w:p>
      <w:pPr>
        <w:spacing w:line="360" w:lineRule="auto"/>
      </w:pPr>
      <w:r>
        <w:rPr>
          <w:rFonts w:hint="eastAsia"/>
        </w:rPr>
        <w:t>4</w:t>
      </w:r>
      <w:r>
        <w:t>.</w:t>
      </w:r>
      <w:r>
        <w:rPr>
          <w:rFonts w:hint="eastAsia"/>
        </w:rPr>
        <w:t>1</w:t>
      </w:r>
      <w:r>
        <w:t xml:space="preserve"> </w:t>
      </w:r>
      <w:r>
        <w:rPr>
          <w:rFonts w:hint="eastAsia"/>
        </w:rPr>
        <w:t>性能要求</w:t>
      </w:r>
    </w:p>
    <w:p>
      <w:pPr>
        <w:pStyle w:val="20"/>
        <w:spacing w:line="360" w:lineRule="auto"/>
        <w:rPr>
          <w:b/>
          <w:bCs/>
          <w:sz w:val="24"/>
          <w:szCs w:val="24"/>
        </w:rPr>
      </w:pPr>
      <w:r>
        <w:rPr>
          <w:rFonts w:hint="eastAsia" w:hAnsi="Courier New"/>
          <w:kern w:val="2"/>
          <w:sz w:val="24"/>
          <w:szCs w:val="24"/>
        </w:rPr>
        <w:t>4</w:t>
      </w:r>
      <w:r>
        <w:rPr>
          <w:rFonts w:hAnsi="Courier New"/>
          <w:kern w:val="2"/>
          <w:sz w:val="24"/>
          <w:szCs w:val="24"/>
        </w:rPr>
        <w:t>.</w:t>
      </w:r>
      <w:r>
        <w:rPr>
          <w:rFonts w:hint="eastAsia" w:hAnsi="Courier New"/>
          <w:kern w:val="2"/>
          <w:sz w:val="24"/>
          <w:szCs w:val="24"/>
        </w:rPr>
        <w:t>1</w:t>
      </w:r>
      <w:r>
        <w:rPr>
          <w:rFonts w:hAnsi="Courier New"/>
          <w:kern w:val="2"/>
          <w:sz w:val="24"/>
          <w:szCs w:val="24"/>
        </w:rPr>
        <w:t xml:space="preserve">.1 </w:t>
      </w:r>
      <w:r>
        <w:rPr>
          <w:rFonts w:hint="eastAsia" w:hAnsi="Courier New"/>
          <w:kern w:val="2"/>
          <w:sz w:val="24"/>
          <w:szCs w:val="24"/>
        </w:rPr>
        <w:t>斗式提升机</w:t>
      </w:r>
    </w:p>
    <w:p>
      <w:pPr>
        <w:spacing w:line="360" w:lineRule="auto"/>
        <w:rPr>
          <w:kern w:val="0"/>
        </w:rPr>
      </w:pPr>
      <w:r>
        <w:rPr>
          <w:rFonts w:hint="eastAsia"/>
          <w:kern w:val="0"/>
        </w:rPr>
        <w:t>1）</w:t>
      </w:r>
      <w:r>
        <w:rPr>
          <w:rFonts w:hint="eastAsia"/>
        </w:rPr>
        <w:t>供方必须保证满足需方提出的斗式提升机性能设计参数，并能在本工程环境下长期安全运行。</w:t>
      </w:r>
    </w:p>
    <w:p>
      <w:pPr>
        <w:spacing w:line="360" w:lineRule="auto"/>
      </w:pPr>
      <w:r>
        <w:rPr>
          <w:rFonts w:hint="eastAsia"/>
          <w:kern w:val="0"/>
        </w:rPr>
        <w:t>2）</w:t>
      </w:r>
      <w:r>
        <w:rPr>
          <w:rFonts w:hint="eastAsia"/>
        </w:rPr>
        <w:t>斗式提升机应有良好的可控性能，合理的运行操作方式及就地</w:t>
      </w:r>
      <w:r>
        <w:t>/</w:t>
      </w:r>
      <w:r>
        <w:rPr>
          <w:rFonts w:hint="eastAsia"/>
        </w:rPr>
        <w:t>远程启停、调试和正常及事故情况下必需的检测、控制调节及保护等措施，以确保设备的安全经济运行。</w:t>
      </w:r>
    </w:p>
    <w:p>
      <w:pPr>
        <w:spacing w:line="360" w:lineRule="auto"/>
      </w:pPr>
      <w:r>
        <w:rPr>
          <w:rFonts w:hint="eastAsia"/>
          <w:kern w:val="0"/>
        </w:rPr>
        <w:t>3）设备零部件应采用先进、可靠的加工制造技术，有良好的表面几何形状及合适的公差配合。</w:t>
      </w:r>
    </w:p>
    <w:p>
      <w:pPr>
        <w:spacing w:line="360" w:lineRule="auto"/>
      </w:pPr>
      <w:r>
        <w:rPr>
          <w:rFonts w:hint="eastAsia"/>
        </w:rPr>
        <w:t>4）</w:t>
      </w:r>
      <w:r>
        <w:rPr>
          <w:rFonts w:hint="eastAsia"/>
          <w:b/>
        </w:rPr>
        <w:t>对提升机的关键部件牵引链条要求采用双板链牵引</w:t>
      </w:r>
      <w:r>
        <w:rPr>
          <w:rFonts w:hint="eastAsia"/>
        </w:rPr>
        <w:t>，</w:t>
      </w:r>
      <w:r>
        <w:rPr>
          <w:rFonts w:hint="eastAsia"/>
          <w:b/>
        </w:rPr>
        <w:t>供货商由需方确认；链条间的链接应可靠，并便于拆卸、更换。板链要求耐磨性能好，能在高温环境条件下长期良好运行，使用寿命不低于15000小时。</w:t>
      </w:r>
      <w:r>
        <w:rPr>
          <w:rFonts w:hint="eastAsia"/>
        </w:rPr>
        <w:t>与头、尾链轮啮合接触面表面硬度应不小于</w:t>
      </w:r>
      <w:r>
        <w:rPr>
          <w:rFonts w:hint="eastAsia" w:ascii="宋体" w:hAnsi="宋体"/>
          <w:u w:val="single"/>
        </w:rPr>
        <w:t xml:space="preserve">     </w:t>
      </w:r>
      <w:r>
        <w:rPr>
          <w:rFonts w:hint="eastAsia"/>
        </w:rPr>
        <w:t>HRC</w:t>
      </w:r>
      <w:r>
        <w:rPr>
          <w:rFonts w:hint="eastAsia"/>
          <w:u w:val="single"/>
        </w:rPr>
        <w:t xml:space="preserve">      </w:t>
      </w:r>
      <w:r>
        <w:rPr>
          <w:rFonts w:hint="eastAsia"/>
        </w:rPr>
        <w:t>（供方填写）。</w:t>
      </w:r>
    </w:p>
    <w:p>
      <w:pPr>
        <w:spacing w:line="360" w:lineRule="auto"/>
        <w:rPr>
          <w:b/>
          <w:kern w:val="0"/>
        </w:rPr>
      </w:pPr>
      <w:r>
        <w:rPr>
          <w:rFonts w:hint="eastAsia"/>
          <w:kern w:val="0"/>
        </w:rPr>
        <w:t>5）</w:t>
      </w:r>
      <w:r>
        <w:rPr>
          <w:rFonts w:hint="eastAsia"/>
          <w:b/>
          <w:spacing w:val="4"/>
        </w:rPr>
        <w:t>斗式提升机传动装置应有逆止器、液力偶合器、传动轮、链条及导轨等；所有传动、牵引构件应有足够的破断拉力和耐磨性；传动轮、链条及导轨等部件应能在高粉尘浓度环境下长期连续运行。</w:t>
      </w:r>
    </w:p>
    <w:p>
      <w:pPr>
        <w:spacing w:line="360" w:lineRule="auto"/>
      </w:pPr>
      <w:r>
        <w:rPr>
          <w:rFonts w:hint="eastAsia"/>
        </w:rPr>
        <w:t>6）头部采用调心滚子轴承，尾部采用调心球轴承。头轴和尾轴均采用</w:t>
      </w:r>
      <w:r>
        <w:t>40Cr</w:t>
      </w:r>
      <w:r>
        <w:rPr>
          <w:rFonts w:hint="eastAsia"/>
        </w:rPr>
        <w:t>，调质处理</w:t>
      </w:r>
      <w:r>
        <w:t>HB241-286</w:t>
      </w:r>
      <w:r>
        <w:rPr>
          <w:rFonts w:hint="eastAsia"/>
        </w:rPr>
        <w:t>。</w:t>
      </w:r>
    </w:p>
    <w:p>
      <w:pPr>
        <w:spacing w:line="360" w:lineRule="auto"/>
        <w:rPr>
          <w:rFonts w:ascii="宋体"/>
          <w:kern w:val="0"/>
        </w:rPr>
      </w:pPr>
      <w:r>
        <w:rPr>
          <w:rFonts w:hint="eastAsia"/>
          <w:kern w:val="0"/>
        </w:rPr>
        <w:t>7）</w:t>
      </w:r>
      <w:r>
        <w:rPr>
          <w:rFonts w:hint="eastAsia"/>
        </w:rPr>
        <w:t>料斗采用落料，模压后组焊的方式，从工艺上保证斗子的尺寸精度，避免料斗在头尾轮处啮合时发生相互干涉现象。同时应具有良好的耐磨性、硬度。</w:t>
      </w:r>
      <w:r>
        <w:rPr>
          <w:rFonts w:hint="eastAsia"/>
          <w:b/>
        </w:rPr>
        <w:t>料斗材质为</w:t>
      </w:r>
      <w:r>
        <w:rPr>
          <w:b/>
        </w:rPr>
        <w:t>304</w:t>
      </w:r>
      <w:r>
        <w:rPr>
          <w:rFonts w:hint="eastAsia"/>
          <w:b/>
        </w:rPr>
        <w:t>，斗口另加厚度不小于5mm的耐磨边，料斗的壁厚不小于5mm</w:t>
      </w:r>
      <w:r>
        <w:rPr>
          <w:rFonts w:hint="eastAsia"/>
        </w:rPr>
        <w:t>，料斗内表面光滑，便于卸料。</w:t>
      </w:r>
    </w:p>
    <w:p>
      <w:pPr>
        <w:spacing w:line="360" w:lineRule="auto"/>
        <w:rPr>
          <w:kern w:val="0"/>
        </w:rPr>
      </w:pPr>
      <w:r>
        <w:rPr>
          <w:rFonts w:hint="eastAsia"/>
          <w:kern w:val="0"/>
        </w:rPr>
        <w:t>8）壳体应具有良好的密闭性，防止灰尘逃逸。整机壳体要求采用折板螺栓联接方式，壳体螺栓孔采用进口的多工位冲床一次加工，保证联接尺寸精度。并在其结构面涂抹密封胶，保证其密封性。中间机壳部分为单通道形式，采用钢板翻边后用螺栓连接，刚性要求好。</w:t>
      </w:r>
    </w:p>
    <w:p>
      <w:pPr>
        <w:spacing w:line="360" w:lineRule="auto"/>
        <w:rPr>
          <w:kern w:val="0"/>
        </w:rPr>
      </w:pPr>
      <w:r>
        <w:rPr>
          <w:rFonts w:hint="eastAsia"/>
          <w:kern w:val="0"/>
        </w:rPr>
        <w:t>9）尾部拉紧装置采用重力自动补偿方式张紧，使链条保持有一恒定的张力，避免由于链条运行磨损或运行温度升高伸长后，尾轴不能及时张紧链条而可能产生的滑链现象。料斗在空料时产生的向上的力由壳体外部的限位装置克服，防止板链脱落。</w:t>
      </w:r>
    </w:p>
    <w:p>
      <w:pPr>
        <w:spacing w:line="360" w:lineRule="auto"/>
      </w:pPr>
      <w:r>
        <w:rPr>
          <w:rFonts w:hint="eastAsia"/>
          <w:kern w:val="0"/>
        </w:rPr>
        <w:t>10）</w:t>
      </w:r>
      <w:r>
        <w:rPr>
          <w:rFonts w:hint="eastAsia"/>
        </w:rPr>
        <w:t>底部</w:t>
      </w:r>
      <w:r>
        <w:rPr>
          <w:rFonts w:hint="eastAsia"/>
          <w:b/>
        </w:rPr>
        <w:t>进料斗左右侧</w:t>
      </w:r>
      <w:r>
        <w:rPr>
          <w:rFonts w:hint="eastAsia"/>
        </w:rPr>
        <w:t>应设快开门，以便于清理和检修。</w:t>
      </w:r>
      <w:r>
        <w:rPr>
          <w:rFonts w:hint="eastAsia"/>
          <w:kern w:val="0"/>
        </w:rPr>
        <w:t>检修门保证检修方便，便于料斗拆卸，同时考虑壳体强度。检修门、视孔门要求开启灵活，密封严格（边上镶有羊毛毡）。清料周期应大于1个月。</w:t>
      </w:r>
    </w:p>
    <w:p>
      <w:pPr>
        <w:spacing w:line="360" w:lineRule="auto"/>
        <w:rPr>
          <w:kern w:val="0"/>
        </w:rPr>
      </w:pPr>
      <w:r>
        <w:rPr>
          <w:rFonts w:hint="eastAsia"/>
          <w:kern w:val="0"/>
        </w:rPr>
        <w:t>11）中枢轴轴承为球面自校准型式，配有可更换的轴承合金面。中枢轴轴承底板可调。齿轮防护罩易于拆卸，并设有检查孔。</w:t>
      </w:r>
    </w:p>
    <w:p>
      <w:pPr>
        <w:spacing w:line="360" w:lineRule="auto"/>
        <w:rPr>
          <w:kern w:val="0"/>
        </w:rPr>
      </w:pPr>
      <w:r>
        <w:rPr>
          <w:rFonts w:hint="eastAsia"/>
          <w:kern w:val="0"/>
        </w:rPr>
        <w:t>12）</w:t>
      </w:r>
      <w:r>
        <w:rPr>
          <w:rFonts w:hint="eastAsia"/>
        </w:rPr>
        <w:t>斗式提升机要求配套有断链保护装置（信号应为无源干节点信号），另外要求在减速机上带有制动器和逆止器以防突然断电造成设备损</w:t>
      </w:r>
      <w:r>
        <w:rPr>
          <w:rFonts w:hint="eastAsia"/>
          <w:kern w:val="0"/>
        </w:rPr>
        <w:t>坏。</w:t>
      </w:r>
    </w:p>
    <w:p>
      <w:pPr>
        <w:spacing w:line="360" w:lineRule="auto"/>
        <w:rPr>
          <w:kern w:val="0"/>
        </w:rPr>
      </w:pPr>
      <w:r>
        <w:rPr>
          <w:rFonts w:hint="eastAsia"/>
          <w:kern w:val="0"/>
        </w:rPr>
        <w:t>13）设备适合连续或间断运行方式，并适应频繁起停及满载情况下能正常启动。</w:t>
      </w:r>
    </w:p>
    <w:p>
      <w:pPr>
        <w:spacing w:line="360" w:lineRule="auto"/>
      </w:pPr>
      <w:r>
        <w:rPr>
          <w:rFonts w:hint="eastAsia"/>
          <w:kern w:val="0"/>
        </w:rPr>
        <w:t>14）</w:t>
      </w:r>
      <w:r>
        <w:rPr>
          <w:rFonts w:hint="eastAsia"/>
        </w:rPr>
        <w:t>进料口的设计与制造应尽量减少设备底部积灰，确保设备能正常连续运行。</w:t>
      </w:r>
    </w:p>
    <w:p>
      <w:pPr>
        <w:spacing w:line="360" w:lineRule="auto"/>
        <w:rPr>
          <w:kern w:val="0"/>
        </w:rPr>
      </w:pPr>
      <w:r>
        <w:rPr>
          <w:rFonts w:hint="eastAsia"/>
        </w:rPr>
        <w:t>15</w:t>
      </w:r>
      <w:r>
        <w:rPr>
          <w:rFonts w:hint="eastAsia"/>
          <w:kern w:val="0"/>
        </w:rPr>
        <w:t>）</w:t>
      </w:r>
      <w:r>
        <w:rPr>
          <w:rFonts w:hint="eastAsia"/>
          <w:b/>
          <w:spacing w:val="4"/>
        </w:rPr>
        <w:t>斗式提升机应设计成自身支承式，框架和壳体的强度应坚固。</w:t>
      </w:r>
    </w:p>
    <w:p>
      <w:pPr>
        <w:spacing w:line="360" w:lineRule="auto"/>
        <w:ind w:firstLine="482" w:firstLineChars="200"/>
        <w:rPr>
          <w:b/>
          <w:kern w:val="0"/>
        </w:rPr>
      </w:pPr>
      <w:r>
        <w:rPr>
          <w:rFonts w:hint="eastAsia"/>
          <w:b/>
          <w:kern w:val="0"/>
        </w:rPr>
        <w:t>斗式提升机有一套检修平台框架支撑（带楼梯至仓顶），用来支撑所有的部件、电机等。检修平台及中间支撑（止晃架）均由供方提供。顶部维修平台及电动葫芦轨道、支架等均由供方提供。</w:t>
      </w:r>
    </w:p>
    <w:p>
      <w:pPr>
        <w:spacing w:line="360" w:lineRule="auto"/>
      </w:pPr>
      <w:r>
        <w:rPr>
          <w:rFonts w:hint="eastAsia"/>
          <w:kern w:val="0"/>
        </w:rPr>
        <w:t>16）</w:t>
      </w:r>
      <w:r>
        <w:rPr>
          <w:rFonts w:hint="eastAsia"/>
        </w:rPr>
        <w:t>减速器为中硬齿面减速器，要求防尘防水，能够连续工作。电动机外壳防护等级至少为</w:t>
      </w:r>
      <w:r>
        <w:rPr>
          <w:rFonts w:hint="eastAsia"/>
          <w:b/>
        </w:rPr>
        <w:t>IP54</w:t>
      </w:r>
      <w:r>
        <w:rPr>
          <w:rFonts w:hint="eastAsia"/>
        </w:rPr>
        <w:t>级，绝缘等级为F级。</w:t>
      </w:r>
    </w:p>
    <w:p>
      <w:pPr>
        <w:spacing w:line="360" w:lineRule="auto"/>
        <w:rPr>
          <w:b/>
          <w:bCs/>
        </w:rPr>
      </w:pPr>
      <w:r>
        <w:rPr>
          <w:rFonts w:hint="eastAsia"/>
        </w:rPr>
        <w:t>17）</w:t>
      </w:r>
      <w:r>
        <w:rPr>
          <w:rFonts w:hint="eastAsia"/>
          <w:b/>
          <w:bCs/>
        </w:rPr>
        <w:t>配套一面就地控制箱，实现就地启停功能，电源箱带电源指示，箱内主要元器件使用施耐德、ABB、西门子产品，我方仅提供一路三相四线制，380V AC电源至电源箱进线端，上级电源容量满足投标方运行要求。</w:t>
      </w:r>
    </w:p>
    <w:p>
      <w:pPr>
        <w:spacing w:line="360" w:lineRule="auto"/>
        <w:rPr>
          <w:kern w:val="0"/>
        </w:rPr>
      </w:pPr>
      <w:r>
        <w:rPr>
          <w:rFonts w:hint="eastAsia"/>
          <w:b/>
          <w:bCs/>
          <w:kern w:val="0"/>
        </w:rPr>
        <w:t>18）</w:t>
      </w:r>
      <w:r>
        <w:rPr>
          <w:rFonts w:hint="eastAsia"/>
          <w:b/>
          <w:bCs/>
        </w:rPr>
        <w:t>设备采用材料及工艺应符合TB3926－85及其它相关国家标准。</w:t>
      </w:r>
    </w:p>
    <w:p>
      <w:pPr>
        <w:spacing w:line="360" w:lineRule="auto"/>
        <w:rPr>
          <w:kern w:val="0"/>
        </w:rPr>
      </w:pPr>
      <w:r>
        <w:rPr>
          <w:rFonts w:hint="eastAsia"/>
          <w:kern w:val="0"/>
        </w:rPr>
        <w:t>19）</w:t>
      </w:r>
      <w:r>
        <w:rPr>
          <w:rFonts w:hint="eastAsia"/>
        </w:rPr>
        <w:t>设备噪音应控制在：离设备外壳和地面</w:t>
      </w:r>
      <w:r>
        <w:t>1</w:t>
      </w:r>
      <w:r>
        <w:rPr>
          <w:rFonts w:hint="eastAsia"/>
        </w:rPr>
        <w:t>米处的噪音不得大于</w:t>
      </w:r>
      <w:r>
        <w:t>85dB(A)</w:t>
      </w:r>
      <w:r>
        <w:rPr>
          <w:rFonts w:hint="eastAsia"/>
        </w:rPr>
        <w:t>级</w:t>
      </w:r>
      <w:r>
        <w:rPr>
          <w:rFonts w:hint="eastAsia"/>
          <w:kern w:val="0"/>
        </w:rPr>
        <w:t>。</w:t>
      </w:r>
    </w:p>
    <w:p>
      <w:pPr>
        <w:spacing w:line="360" w:lineRule="auto"/>
        <w:rPr>
          <w:kern w:val="0"/>
        </w:rPr>
      </w:pPr>
      <w:r>
        <w:rPr>
          <w:rFonts w:hint="eastAsia"/>
          <w:kern w:val="0"/>
        </w:rPr>
        <w:t>20）表面处理，涂漆。产品涂漆前，所有板材、型钢及焊接结构进行酸洗—钝化或喷砂等表面处理，以增强油漆的附着力，并保证涂漆后表面均匀、光亮、色泽一致。</w:t>
      </w:r>
    </w:p>
    <w:p>
      <w:pPr>
        <w:pStyle w:val="18"/>
        <w:spacing w:line="360" w:lineRule="auto"/>
        <w:rPr>
          <w:rFonts w:ascii="Times New Roman" w:hAnsi="Times New Roman"/>
          <w:kern w:val="0"/>
          <w:sz w:val="24"/>
          <w:szCs w:val="24"/>
        </w:rPr>
      </w:pPr>
      <w:r>
        <w:rPr>
          <w:rFonts w:hint="eastAsia" w:ascii="Times New Roman" w:hAnsi="Times New Roman"/>
          <w:kern w:val="0"/>
          <w:sz w:val="24"/>
          <w:szCs w:val="24"/>
        </w:rPr>
        <w:t>21) 整套装置的结构中，所有轴承表面均不得暴露在周围灰尘中，并采用耐磨及防尘的轴承和轴封装置。</w:t>
      </w:r>
    </w:p>
    <w:p>
      <w:pPr>
        <w:pStyle w:val="18"/>
        <w:spacing w:line="360" w:lineRule="auto"/>
        <w:rPr>
          <w:rFonts w:ascii="Times New Roman" w:hAnsi="Times New Roman"/>
          <w:b/>
          <w:kern w:val="0"/>
          <w:sz w:val="24"/>
          <w:szCs w:val="24"/>
        </w:rPr>
      </w:pPr>
      <w:r>
        <w:rPr>
          <w:rFonts w:hint="eastAsia" w:ascii="Times New Roman" w:hAnsi="Times New Roman"/>
          <w:b/>
          <w:kern w:val="0"/>
          <w:sz w:val="24"/>
          <w:szCs w:val="24"/>
        </w:rPr>
        <w:t>22) 斗式提升机传动减速装置采用优质产品</w:t>
      </w:r>
      <w:r>
        <w:rPr>
          <w:rFonts w:hint="eastAsia" w:ascii="Times New Roman" w:hAnsi="Times New Roman"/>
          <w:b/>
          <w:kern w:val="0"/>
          <w:sz w:val="24"/>
          <w:szCs w:val="24"/>
          <w:highlight w:val="yellow"/>
        </w:rPr>
        <w:t>。</w:t>
      </w:r>
    </w:p>
    <w:p>
      <w:pPr>
        <w:spacing w:line="360" w:lineRule="auto"/>
        <w:rPr>
          <w:kern w:val="0"/>
        </w:rPr>
      </w:pPr>
      <w:r>
        <w:rPr>
          <w:rFonts w:hint="eastAsia"/>
          <w:bCs/>
        </w:rPr>
        <w:t>4</w:t>
      </w:r>
      <w:r>
        <w:rPr>
          <w:bCs/>
        </w:rPr>
        <w:t>.</w:t>
      </w:r>
      <w:r>
        <w:rPr>
          <w:rFonts w:hint="eastAsia"/>
          <w:bCs/>
        </w:rPr>
        <w:t>1</w:t>
      </w:r>
      <w:r>
        <w:rPr>
          <w:bCs/>
        </w:rPr>
        <w:t>.</w:t>
      </w:r>
      <w:r>
        <w:rPr>
          <w:rFonts w:hint="eastAsia"/>
          <w:bCs/>
        </w:rPr>
        <w:t>2</w:t>
      </w:r>
      <w:r>
        <w:rPr>
          <w:bCs/>
        </w:rPr>
        <w:t xml:space="preserve"> </w:t>
      </w:r>
      <w:r>
        <w:rPr>
          <w:rFonts w:hint="eastAsia"/>
          <w:bCs/>
        </w:rPr>
        <w:t>隔音措施</w:t>
      </w:r>
    </w:p>
    <w:p>
      <w:pPr>
        <w:spacing w:line="360" w:lineRule="auto"/>
        <w:ind w:firstLine="480" w:firstLineChars="200"/>
      </w:pPr>
      <w:r>
        <w:rPr>
          <w:rFonts w:hint="eastAsia"/>
        </w:rPr>
        <w:t>如果设备噪音水平超出标准，应配备隔音措施。计算按中国现行标准进行。</w:t>
      </w:r>
    </w:p>
    <w:p>
      <w:pPr>
        <w:spacing w:line="360" w:lineRule="auto"/>
      </w:pPr>
      <w:bookmarkStart w:id="24" w:name="_Toc19418758"/>
      <w:bookmarkStart w:id="25" w:name="_Toc25291485"/>
      <w:r>
        <w:rPr>
          <w:rFonts w:hint="eastAsia"/>
          <w:bCs/>
        </w:rPr>
        <w:t>4</w:t>
      </w:r>
      <w:r>
        <w:rPr>
          <w:bCs/>
        </w:rPr>
        <w:t>.</w:t>
      </w:r>
      <w:r>
        <w:rPr>
          <w:rFonts w:hint="eastAsia"/>
          <w:bCs/>
        </w:rPr>
        <w:t>1</w:t>
      </w:r>
      <w:r>
        <w:rPr>
          <w:bCs/>
        </w:rPr>
        <w:t>.</w:t>
      </w:r>
      <w:r>
        <w:rPr>
          <w:rFonts w:hint="eastAsia"/>
          <w:bCs/>
        </w:rPr>
        <w:t>3</w:t>
      </w:r>
      <w:r>
        <w:rPr>
          <w:bCs/>
        </w:rPr>
        <w:t xml:space="preserve"> </w:t>
      </w:r>
      <w:r>
        <w:rPr>
          <w:rFonts w:hint="eastAsia"/>
        </w:rPr>
        <w:t>润滑</w:t>
      </w:r>
      <w:bookmarkEnd w:id="24"/>
      <w:bookmarkEnd w:id="25"/>
    </w:p>
    <w:p>
      <w:pPr>
        <w:pStyle w:val="18"/>
        <w:spacing w:line="360" w:lineRule="auto"/>
        <w:rPr>
          <w:sz w:val="24"/>
          <w:szCs w:val="24"/>
        </w:rPr>
      </w:pPr>
      <w:r>
        <w:rPr>
          <w:sz w:val="24"/>
          <w:szCs w:val="24"/>
        </w:rPr>
        <w:t xml:space="preserve">a) </w:t>
      </w:r>
      <w:r>
        <w:rPr>
          <w:rFonts w:hint="eastAsia"/>
          <w:sz w:val="24"/>
          <w:szCs w:val="24"/>
        </w:rPr>
        <w:t>需要润滑的部件应有一定的安全余量以防止偶然的润滑系统故障，或者维修周期拖延的情况下也应能无损害运行。拖延时间最多为维修期的</w:t>
      </w:r>
      <w:r>
        <w:rPr>
          <w:sz w:val="24"/>
          <w:szCs w:val="24"/>
        </w:rPr>
        <w:t>5%(</w:t>
      </w:r>
      <w:r>
        <w:rPr>
          <w:rFonts w:hint="eastAsia"/>
          <w:sz w:val="24"/>
          <w:szCs w:val="24"/>
        </w:rPr>
        <w:t>最少一天</w:t>
      </w:r>
      <w:r>
        <w:rPr>
          <w:sz w:val="24"/>
          <w:szCs w:val="24"/>
        </w:rPr>
        <w:t>)</w:t>
      </w:r>
      <w:r>
        <w:rPr>
          <w:rFonts w:hint="eastAsia"/>
          <w:sz w:val="24"/>
          <w:szCs w:val="24"/>
        </w:rPr>
        <w:t>。</w:t>
      </w:r>
    </w:p>
    <w:p>
      <w:pPr>
        <w:pStyle w:val="18"/>
        <w:spacing w:line="360" w:lineRule="auto"/>
        <w:rPr>
          <w:sz w:val="24"/>
          <w:szCs w:val="24"/>
        </w:rPr>
      </w:pPr>
      <w:r>
        <w:rPr>
          <w:sz w:val="24"/>
          <w:szCs w:val="24"/>
        </w:rPr>
        <w:t xml:space="preserve">b) </w:t>
      </w:r>
      <w:r>
        <w:rPr>
          <w:rFonts w:hint="eastAsia"/>
          <w:sz w:val="24"/>
          <w:szCs w:val="24"/>
        </w:rPr>
        <w:t>同一种机械设备在各种气候条件下应尽可能使用同一润滑剂，而且尽可能减少润滑剂的种类。</w:t>
      </w:r>
    </w:p>
    <w:p>
      <w:pPr>
        <w:spacing w:line="360" w:lineRule="auto"/>
      </w:pPr>
      <w:r>
        <w:rPr>
          <w:rFonts w:hint="eastAsia"/>
          <w:bCs/>
        </w:rPr>
        <w:t>4</w:t>
      </w:r>
      <w:r>
        <w:rPr>
          <w:bCs/>
        </w:rPr>
        <w:t>.</w:t>
      </w:r>
      <w:r>
        <w:rPr>
          <w:rFonts w:hint="eastAsia"/>
          <w:bCs/>
        </w:rPr>
        <w:t>1</w:t>
      </w:r>
      <w:r>
        <w:rPr>
          <w:bCs/>
        </w:rPr>
        <w:t>.</w:t>
      </w:r>
      <w:r>
        <w:rPr>
          <w:rFonts w:hint="eastAsia"/>
          <w:bCs/>
        </w:rPr>
        <w:t>4</w:t>
      </w:r>
      <w:r>
        <w:rPr>
          <w:rFonts w:hint="eastAsia"/>
        </w:rPr>
        <w:t>供方应在投标书中详细列出斗式提升机执行机构的</w:t>
      </w:r>
      <w:r>
        <w:rPr>
          <w:rFonts w:hint="eastAsia" w:ascii="宋体" w:hAnsi="宋体"/>
        </w:rPr>
        <w:t>设计﹑制造﹑检验﹑装配﹑安装﹑调试﹑试运</w:t>
      </w:r>
      <w:r>
        <w:rPr>
          <w:rFonts w:hint="eastAsia"/>
        </w:rPr>
        <w:t>﹑验收﹑试验﹑运行和维护等有关规程、规范和标准清单，供需方确认。</w:t>
      </w:r>
    </w:p>
    <w:p>
      <w:pPr>
        <w:spacing w:line="360" w:lineRule="auto"/>
        <w:ind w:firstLine="480" w:firstLineChars="200"/>
      </w:pPr>
      <w:r>
        <w:rPr>
          <w:rFonts w:hint="eastAsia"/>
        </w:rPr>
        <w:t>从订货之日至供方制造之日的这段时期内，需方有权提出因规程、规范和标准发生变化而产生的补充要求，供方遵守这些要求。</w:t>
      </w:r>
    </w:p>
    <w:p>
      <w:pPr>
        <w:spacing w:line="360" w:lineRule="auto"/>
      </w:pPr>
      <w:r>
        <w:rPr>
          <w:rFonts w:hint="eastAsia"/>
        </w:rPr>
        <w:t>4.2 性能保证值</w:t>
      </w:r>
    </w:p>
    <w:p>
      <w:pPr>
        <w:spacing w:line="360" w:lineRule="auto"/>
        <w:ind w:firstLine="480" w:firstLineChars="200"/>
      </w:pPr>
      <w:r>
        <w:rPr>
          <w:rFonts w:hint="eastAsia"/>
        </w:rPr>
        <w:t>供方保证所提供的斗式提升机的石灰石粒度及其他性能，在设计负荷下，需方按供方的有关设备的安装要求进行安装，并按供方的运行、维护手册进行操作及维护的情况下，供方保证设备的性能达到下列各项的性能要求</w:t>
      </w:r>
      <w:r>
        <w:rPr>
          <w:rFonts w:hint="eastAsia"/>
          <w:b/>
        </w:rPr>
        <w:t>（空白处供方填写）</w:t>
      </w:r>
      <w:r>
        <w:t>:</w:t>
      </w:r>
    </w:p>
    <w:p>
      <w:pPr>
        <w:spacing w:line="360" w:lineRule="auto"/>
        <w:jc w:val="left"/>
        <w:rPr>
          <w:rFonts w:ascii="宋体" w:hAnsi="宋体"/>
        </w:rPr>
      </w:pPr>
      <w:r>
        <w:rPr>
          <w:rFonts w:ascii="宋体" w:hAnsi="宋体"/>
        </w:rPr>
        <w:t>(</w:t>
      </w:r>
      <w:r>
        <w:rPr>
          <w:rFonts w:hint="eastAsia" w:ascii="宋体" w:hAnsi="宋体"/>
        </w:rPr>
        <w:t>1</w:t>
      </w:r>
      <w:r>
        <w:rPr>
          <w:rFonts w:ascii="宋体" w:hAnsi="宋体"/>
        </w:rPr>
        <w:t>)</w:t>
      </w:r>
      <w:r>
        <w:rPr>
          <w:rFonts w:hint="eastAsia" w:ascii="宋体" w:hAnsi="宋体"/>
        </w:rPr>
        <w:t>噪音</w:t>
      </w:r>
      <w:r>
        <w:rPr>
          <w:rFonts w:ascii="宋体" w:hAnsi="宋体"/>
        </w:rPr>
        <w:t xml:space="preserve"> :</w:t>
      </w:r>
      <w:r>
        <w:rPr>
          <w:rFonts w:ascii="宋体" w:hAnsi="宋体"/>
        </w:rPr>
        <w:tab/>
      </w:r>
      <w:r>
        <w:rPr>
          <w:rFonts w:ascii="宋体" w:hAnsi="宋体"/>
        </w:rPr>
        <w:t xml:space="preserve">   </w:t>
      </w:r>
      <w:r>
        <w:rPr>
          <w:rFonts w:hint="eastAsia" w:ascii="宋体" w:hAnsi="宋体"/>
        </w:rPr>
        <w:t xml:space="preserve">          </w:t>
      </w:r>
      <w:r>
        <w:rPr>
          <w:rFonts w:hint="eastAsia" w:ascii="宋体" w:hAnsi="宋体"/>
          <w:lang w:val="en-GB"/>
        </w:rPr>
        <w:t>≤</w:t>
      </w:r>
      <w:r>
        <w:rPr>
          <w:rFonts w:hint="eastAsia" w:ascii="宋体" w:hAnsi="宋体"/>
          <w:u w:val="single"/>
          <w:lang w:val="en-GB"/>
        </w:rPr>
        <w:t xml:space="preserve">   </w:t>
      </w:r>
      <w:r>
        <w:rPr>
          <w:rFonts w:ascii="宋体" w:hAnsi="宋体"/>
        </w:rPr>
        <w:t xml:space="preserve">dB(A) </w:t>
      </w:r>
      <w:r>
        <w:rPr>
          <w:rFonts w:hint="eastAsia" w:ascii="宋体" w:hAnsi="宋体"/>
        </w:rPr>
        <w:t>距离</w:t>
      </w:r>
      <w:r>
        <w:rPr>
          <w:rFonts w:ascii="宋体" w:hAnsi="宋体"/>
        </w:rPr>
        <w:t xml:space="preserve"> 1 m</w:t>
      </w:r>
    </w:p>
    <w:p>
      <w:pPr>
        <w:spacing w:line="360" w:lineRule="auto"/>
        <w:jc w:val="left"/>
        <w:rPr>
          <w:rFonts w:ascii="宋体" w:hAnsi="宋体"/>
        </w:rPr>
      </w:pPr>
      <w:r>
        <w:rPr>
          <w:rFonts w:ascii="宋体" w:hAnsi="宋体"/>
        </w:rPr>
        <w:t>(</w:t>
      </w:r>
      <w:r>
        <w:rPr>
          <w:rFonts w:hint="eastAsia" w:ascii="宋体" w:hAnsi="宋体"/>
        </w:rPr>
        <w:t>2</w:t>
      </w:r>
      <w:r>
        <w:rPr>
          <w:rFonts w:ascii="宋体" w:hAnsi="宋体"/>
        </w:rPr>
        <w:t>)</w:t>
      </w:r>
      <w:r>
        <w:rPr>
          <w:rFonts w:hint="eastAsia" w:ascii="宋体" w:hAnsi="宋体"/>
        </w:rPr>
        <w:t>单台斗式提升机能力</w:t>
      </w:r>
      <w:r>
        <w:rPr>
          <w:rFonts w:ascii="宋体" w:hAnsi="宋体"/>
        </w:rPr>
        <w:t xml:space="preserve"> :</w:t>
      </w:r>
      <w:r>
        <w:rPr>
          <w:rFonts w:hint="eastAsia" w:ascii="宋体" w:hAnsi="宋体"/>
        </w:rPr>
        <w:t xml:space="preserve">    </w:t>
      </w:r>
      <w:r>
        <w:rPr>
          <w:rFonts w:hint="eastAsia" w:ascii="宋体" w:hAnsi="宋体"/>
          <w:u w:val="single"/>
        </w:rPr>
        <w:t xml:space="preserve">     </w:t>
      </w:r>
      <w:r>
        <w:rPr>
          <w:rFonts w:hint="eastAsia" w:ascii="宋体" w:hAnsi="宋体"/>
        </w:rPr>
        <w:t xml:space="preserve"> </w:t>
      </w:r>
      <w:r>
        <w:rPr>
          <w:rFonts w:ascii="宋体" w:hAnsi="宋体"/>
        </w:rPr>
        <w:t>t/h</w:t>
      </w:r>
    </w:p>
    <w:p>
      <w:pPr>
        <w:spacing w:line="360" w:lineRule="auto"/>
        <w:jc w:val="left"/>
        <w:rPr>
          <w:rFonts w:ascii="宋体" w:hAnsi="宋体"/>
        </w:rPr>
      </w:pPr>
      <w:r>
        <w:rPr>
          <w:rFonts w:ascii="宋体" w:hAnsi="宋体"/>
        </w:rPr>
        <w:t>(</w:t>
      </w:r>
      <w:r>
        <w:rPr>
          <w:rFonts w:hint="eastAsia" w:ascii="宋体" w:hAnsi="宋体"/>
        </w:rPr>
        <w:t>3</w:t>
      </w:r>
      <w:r>
        <w:rPr>
          <w:rFonts w:ascii="宋体" w:hAnsi="宋体"/>
        </w:rPr>
        <w:t>)</w:t>
      </w:r>
      <w:r>
        <w:rPr>
          <w:rFonts w:hint="eastAsia" w:ascii="宋体" w:hAnsi="宋体"/>
        </w:rPr>
        <w:t>牵引链条使用寿命</w:t>
      </w:r>
      <w:r>
        <w:rPr>
          <w:rFonts w:ascii="宋体" w:hAnsi="宋体"/>
        </w:rPr>
        <w:t xml:space="preserve">:  </w:t>
      </w:r>
      <w:r>
        <w:rPr>
          <w:rFonts w:hint="eastAsia" w:ascii="宋体" w:hAnsi="宋体"/>
        </w:rPr>
        <w:t xml:space="preserve"> </w:t>
      </w:r>
      <w:r>
        <w:rPr>
          <w:rFonts w:ascii="宋体" w:hAnsi="宋体"/>
        </w:rPr>
        <w:t xml:space="preserve">  </w:t>
      </w:r>
      <w:r>
        <w:rPr>
          <w:rFonts w:hint="eastAsia" w:ascii="宋体" w:hAnsi="宋体"/>
        </w:rPr>
        <w:t>≥</w:t>
      </w:r>
      <w:r>
        <w:rPr>
          <w:rFonts w:hint="eastAsia" w:ascii="宋体" w:hAnsi="宋体"/>
          <w:b/>
        </w:rPr>
        <w:t>15000小时</w:t>
      </w:r>
    </w:p>
    <w:p>
      <w:pPr>
        <w:spacing w:line="360" w:lineRule="auto"/>
        <w:jc w:val="left"/>
        <w:rPr>
          <w:rFonts w:ascii="宋体" w:hAnsi="宋体"/>
        </w:rPr>
      </w:pPr>
      <w:r>
        <w:rPr>
          <w:rFonts w:hint="eastAsia" w:ascii="宋体" w:hAnsi="宋体"/>
        </w:rPr>
        <w:t>(4)料斗使用寿命:         ≥</w:t>
      </w:r>
      <w:r>
        <w:rPr>
          <w:rFonts w:hint="eastAsia" w:ascii="宋体" w:hAnsi="宋体"/>
          <w:u w:val="single"/>
        </w:rPr>
        <w:t xml:space="preserve">     </w:t>
      </w:r>
      <w:r>
        <w:rPr>
          <w:rFonts w:hint="eastAsia" w:ascii="宋体" w:hAnsi="宋体"/>
        </w:rPr>
        <w:t xml:space="preserve"> h。</w:t>
      </w:r>
    </w:p>
    <w:p>
      <w:pPr>
        <w:spacing w:line="360" w:lineRule="auto"/>
        <w:jc w:val="left"/>
        <w:rPr>
          <w:rFonts w:ascii="宋体" w:hAnsi="宋体"/>
        </w:rPr>
      </w:pPr>
      <w:r>
        <w:rPr>
          <w:rFonts w:hint="eastAsia" w:ascii="宋体" w:hAnsi="宋体"/>
        </w:rPr>
        <w:t>(5)底部清料周期:         ≥</w:t>
      </w:r>
      <w:r>
        <w:rPr>
          <w:rFonts w:hint="eastAsia" w:ascii="宋体" w:hAnsi="宋体"/>
          <w:u w:val="single"/>
        </w:rPr>
        <w:t xml:space="preserve">   1  </w:t>
      </w:r>
      <w:r>
        <w:rPr>
          <w:rFonts w:hint="eastAsia" w:ascii="宋体" w:hAnsi="宋体"/>
        </w:rPr>
        <w:t xml:space="preserve"> 月。</w:t>
      </w:r>
    </w:p>
    <w:p>
      <w:pPr>
        <w:spacing w:line="360" w:lineRule="auto"/>
        <w:ind w:firstLine="480" w:firstLineChars="200"/>
        <w:rPr>
          <w:rFonts w:ascii="宋体" w:hAnsi="宋体"/>
        </w:rPr>
      </w:pPr>
      <w:r>
        <w:rPr>
          <w:rFonts w:hint="eastAsia"/>
        </w:rPr>
        <w:t>装置年可利用小时数为</w:t>
      </w:r>
      <w:r>
        <w:rPr>
          <w:rFonts w:hint="eastAsia"/>
          <w:b/>
        </w:rPr>
        <w:t>8000</w:t>
      </w:r>
      <w:r>
        <w:rPr>
          <w:rFonts w:hint="eastAsia"/>
        </w:rPr>
        <w:t>小时,年运行小时数按</w:t>
      </w:r>
      <w:r>
        <w:rPr>
          <w:rFonts w:hint="eastAsia"/>
          <w:b/>
        </w:rPr>
        <w:t>7500</w:t>
      </w:r>
      <w:r>
        <w:rPr>
          <w:rFonts w:hint="eastAsia"/>
        </w:rPr>
        <w:t>小时。</w:t>
      </w:r>
      <w:r>
        <w:rPr>
          <w:rFonts w:hint="eastAsia" w:ascii="宋体" w:hAnsi="宋体"/>
        </w:rPr>
        <w:t xml:space="preserve"> </w:t>
      </w:r>
    </w:p>
    <w:p>
      <w:pPr>
        <w:spacing w:line="360" w:lineRule="auto"/>
        <w:ind w:firstLine="480" w:firstLineChars="200"/>
      </w:pPr>
      <w:r>
        <w:rPr>
          <w:rFonts w:hint="eastAsia"/>
        </w:rPr>
        <w:t>所有设备性能</w:t>
      </w:r>
      <w:r>
        <w:rPr>
          <w:rFonts w:hint="eastAsia" w:ascii="宋体" w:hAnsi="宋体"/>
        </w:rPr>
        <w:t xml:space="preserve">保证期为颁发接受证书后 </w:t>
      </w:r>
      <w:r>
        <w:rPr>
          <w:rFonts w:hint="eastAsia" w:ascii="宋体" w:hAnsi="宋体"/>
          <w:b/>
          <w:u w:val="single"/>
        </w:rPr>
        <w:t xml:space="preserve"> 1 </w:t>
      </w:r>
      <w:r>
        <w:rPr>
          <w:rFonts w:hint="eastAsia" w:ascii="宋体" w:hAnsi="宋体"/>
        </w:rPr>
        <w:t>年</w:t>
      </w:r>
      <w:r>
        <w:rPr>
          <w:rFonts w:ascii="宋体" w:hAnsi="宋体"/>
        </w:rPr>
        <w:t xml:space="preserve">, </w:t>
      </w:r>
      <w:r>
        <w:rPr>
          <w:rFonts w:hint="eastAsia"/>
        </w:rPr>
        <w:t>大修年限</w:t>
      </w:r>
      <w:r>
        <w:t>(</w:t>
      </w:r>
      <w:r>
        <w:rPr>
          <w:rFonts w:hint="eastAsia"/>
        </w:rPr>
        <w:t>按装置最大连续运行时间计</w:t>
      </w:r>
      <w:r>
        <w:t>)</w:t>
      </w:r>
      <w:r>
        <w:rPr>
          <w:rFonts w:hint="eastAsia"/>
        </w:rPr>
        <w:t>应大于</w:t>
      </w:r>
      <w:r>
        <w:rPr>
          <w:rFonts w:hint="eastAsia"/>
          <w:u w:val="single"/>
        </w:rPr>
        <w:t xml:space="preserve"> </w:t>
      </w:r>
      <w:r>
        <w:rPr>
          <w:rFonts w:hint="eastAsia"/>
          <w:b/>
          <w:u w:val="single"/>
        </w:rPr>
        <w:t>5</w:t>
      </w:r>
      <w:r>
        <w:rPr>
          <w:rFonts w:hint="eastAsia"/>
        </w:rPr>
        <w:t>年</w:t>
      </w:r>
      <w:r>
        <w:t xml:space="preserve">, </w:t>
      </w:r>
      <w:r>
        <w:rPr>
          <w:rFonts w:hint="eastAsia"/>
        </w:rPr>
        <w:t>设备设计整体寿命为</w:t>
      </w:r>
      <w:r>
        <w:rPr>
          <w:u w:val="single"/>
        </w:rPr>
        <w:t>30</w:t>
      </w:r>
      <w:r>
        <w:rPr>
          <w:rFonts w:hint="eastAsia"/>
        </w:rPr>
        <w:t>年（不包括易损件）。</w:t>
      </w:r>
    </w:p>
    <w:p>
      <w:pPr>
        <w:spacing w:line="360" w:lineRule="auto"/>
      </w:pPr>
      <w:r>
        <w:rPr>
          <w:rFonts w:hint="eastAsia"/>
        </w:rPr>
        <w:t xml:space="preserve"> 4.3 斗式提升机的考核项目（不限于）：</w:t>
      </w:r>
    </w:p>
    <w:p>
      <w:pPr>
        <w:tabs>
          <w:tab w:val="left" w:pos="600"/>
        </w:tabs>
        <w:spacing w:line="360" w:lineRule="auto"/>
      </w:pPr>
      <w:r>
        <w:tab/>
      </w:r>
      <w:r>
        <w:rPr>
          <w:rFonts w:hint="eastAsia"/>
        </w:rPr>
        <w:t>（</w:t>
      </w:r>
      <w:r>
        <w:t>1</w:t>
      </w:r>
      <w:r>
        <w:rPr>
          <w:rFonts w:hint="eastAsia"/>
        </w:rPr>
        <w:t>）出力。</w:t>
      </w:r>
    </w:p>
    <w:p>
      <w:pPr>
        <w:tabs>
          <w:tab w:val="left" w:pos="600"/>
        </w:tabs>
        <w:spacing w:line="360" w:lineRule="auto"/>
      </w:pPr>
      <w:r>
        <w:tab/>
      </w:r>
      <w:r>
        <w:rPr>
          <w:rFonts w:hint="eastAsia"/>
        </w:rPr>
        <w:t>（2）设备噪声。</w:t>
      </w:r>
    </w:p>
    <w:p>
      <w:pPr>
        <w:spacing w:line="360" w:lineRule="auto"/>
      </w:pPr>
      <w:r>
        <w:rPr>
          <w:rFonts w:hint="eastAsia"/>
        </w:rPr>
        <w:t>4.4</w:t>
      </w:r>
      <w:r>
        <w:t xml:space="preserve"> </w:t>
      </w:r>
      <w:r>
        <w:rPr>
          <w:rFonts w:hint="eastAsia"/>
        </w:rPr>
        <w:t>斗式提升机的质量保证</w:t>
      </w:r>
    </w:p>
    <w:p>
      <w:pPr>
        <w:tabs>
          <w:tab w:val="left" w:pos="600"/>
        </w:tabs>
        <w:spacing w:line="360" w:lineRule="auto"/>
      </w:pPr>
      <w:r>
        <w:rPr>
          <w:rFonts w:hint="eastAsia"/>
        </w:rPr>
        <w:t>4.4.1</w:t>
      </w:r>
      <w:r>
        <w:t xml:space="preserve">  </w:t>
      </w:r>
      <w:r>
        <w:rPr>
          <w:rFonts w:hint="eastAsia"/>
        </w:rPr>
        <w:t>斗式提升机的主要零部件均应按图纸及技术文件要求进行功能检查和试验，以保证设计和结构满足本规范书要求。</w:t>
      </w:r>
    </w:p>
    <w:p>
      <w:pPr>
        <w:tabs>
          <w:tab w:val="left" w:pos="600"/>
        </w:tabs>
        <w:spacing w:line="360" w:lineRule="auto"/>
      </w:pPr>
      <w:r>
        <w:rPr>
          <w:rFonts w:hint="eastAsia"/>
        </w:rPr>
        <w:t>4.4.2</w:t>
      </w:r>
      <w:r>
        <w:t xml:space="preserve"> </w:t>
      </w:r>
      <w:r>
        <w:rPr>
          <w:rFonts w:hint="eastAsia"/>
        </w:rPr>
        <w:t>主要零部件的材料，应有材料质量保证书或试验报告。</w:t>
      </w:r>
    </w:p>
    <w:p>
      <w:pPr>
        <w:tabs>
          <w:tab w:val="left" w:pos="600"/>
        </w:tabs>
        <w:spacing w:line="360" w:lineRule="auto"/>
      </w:pPr>
      <w:r>
        <w:rPr>
          <w:rFonts w:hint="eastAsia"/>
        </w:rPr>
        <w:t>4.4.3</w:t>
      </w:r>
      <w:r>
        <w:t xml:space="preserve"> </w:t>
      </w:r>
      <w:r>
        <w:rPr>
          <w:rFonts w:hint="eastAsia"/>
        </w:rPr>
        <w:t>设备表面无明显缺陷，应保证长期运行无渗漏、无变形。</w:t>
      </w:r>
    </w:p>
    <w:p>
      <w:pPr>
        <w:tabs>
          <w:tab w:val="left" w:pos="600"/>
        </w:tabs>
        <w:spacing w:line="360" w:lineRule="auto"/>
      </w:pPr>
      <w:r>
        <w:rPr>
          <w:rFonts w:hint="eastAsia"/>
        </w:rPr>
        <w:t>4.4.4 设备整机在连续运行条件下，大修周期不小于</w:t>
      </w:r>
      <w:r>
        <w:rPr>
          <w:rFonts w:hint="eastAsia"/>
          <w:b/>
        </w:rPr>
        <w:t>6</w:t>
      </w:r>
      <w:r>
        <w:rPr>
          <w:rFonts w:hint="eastAsia"/>
        </w:rPr>
        <w:t>年。</w:t>
      </w:r>
    </w:p>
    <w:p>
      <w:pPr>
        <w:tabs>
          <w:tab w:val="left" w:pos="600"/>
        </w:tabs>
        <w:spacing w:line="360" w:lineRule="auto"/>
      </w:pPr>
      <w:r>
        <w:rPr>
          <w:rFonts w:hint="eastAsia"/>
        </w:rPr>
        <w:t>4.4.5</w:t>
      </w:r>
      <w:r>
        <w:t xml:space="preserve"> </w:t>
      </w:r>
      <w:r>
        <w:rPr>
          <w:rFonts w:hint="eastAsia"/>
        </w:rPr>
        <w:t>配套的电动机应符合‘</w:t>
      </w:r>
      <w:r>
        <w:t>IEC</w:t>
      </w:r>
      <w:r>
        <w:rPr>
          <w:rFonts w:hint="eastAsia"/>
        </w:rPr>
        <w:t>’标准。</w:t>
      </w:r>
    </w:p>
    <w:p>
      <w:pPr>
        <w:tabs>
          <w:tab w:val="left" w:pos="600"/>
        </w:tabs>
        <w:spacing w:line="360" w:lineRule="auto"/>
      </w:pPr>
      <w:r>
        <w:rPr>
          <w:rFonts w:hint="eastAsia"/>
        </w:rPr>
        <w:t>4.4.6</w:t>
      </w:r>
      <w:r>
        <w:t xml:space="preserve"> </w:t>
      </w:r>
      <w:r>
        <w:rPr>
          <w:rFonts w:hint="eastAsia"/>
        </w:rPr>
        <w:t>供方应严格遵照</w:t>
      </w:r>
      <w:r>
        <w:t>GB/T</w:t>
      </w:r>
      <w:r>
        <w:rPr>
          <w:rFonts w:hint="eastAsia"/>
        </w:rPr>
        <w:t>－</w:t>
      </w:r>
      <w:r>
        <w:t>19000</w:t>
      </w:r>
      <w:r>
        <w:rPr>
          <w:rFonts w:hint="eastAsia"/>
        </w:rPr>
        <w:t>设计、开发、生产、安装和服务的质量保证模式及</w:t>
      </w:r>
      <w:r>
        <w:t>ISO9001</w:t>
      </w:r>
      <w:r>
        <w:rPr>
          <w:rFonts w:hint="eastAsia"/>
        </w:rPr>
        <w:t>质量保证体系。</w:t>
      </w:r>
    </w:p>
    <w:p>
      <w:pPr>
        <w:tabs>
          <w:tab w:val="left" w:pos="600"/>
        </w:tabs>
        <w:spacing w:line="360" w:lineRule="auto"/>
      </w:pPr>
      <w:r>
        <w:rPr>
          <w:rFonts w:hint="eastAsia"/>
        </w:rPr>
        <w:t>4.4.7</w:t>
      </w:r>
      <w:r>
        <w:t xml:space="preserve"> </w:t>
      </w:r>
      <w:r>
        <w:rPr>
          <w:rFonts w:hint="eastAsia"/>
        </w:rPr>
        <w:t>供方应提出施工现场安装注意事项及安装质量保证方法。</w:t>
      </w:r>
    </w:p>
    <w:p>
      <w:pPr>
        <w:pStyle w:val="3"/>
        <w:spacing w:line="360" w:lineRule="auto"/>
        <w:rPr>
          <w:sz w:val="24"/>
          <w:szCs w:val="24"/>
        </w:rPr>
      </w:pPr>
      <w:bookmarkStart w:id="26" w:name="_Toc519862996"/>
      <w:bookmarkStart w:id="27" w:name="_Toc11761779"/>
      <w:bookmarkStart w:id="28" w:name="_Toc515705604"/>
      <w:bookmarkStart w:id="29" w:name="_Toc11762014"/>
      <w:bookmarkStart w:id="30" w:name="_Toc255982370"/>
      <w:r>
        <w:rPr>
          <w:rFonts w:hint="eastAsia"/>
          <w:sz w:val="24"/>
          <w:szCs w:val="24"/>
        </w:rPr>
        <w:t>5 设计与供货界限及</w:t>
      </w:r>
      <w:bookmarkEnd w:id="26"/>
      <w:bookmarkEnd w:id="27"/>
      <w:bookmarkEnd w:id="28"/>
      <w:bookmarkEnd w:id="29"/>
      <w:r>
        <w:rPr>
          <w:rFonts w:hint="eastAsia"/>
          <w:sz w:val="24"/>
          <w:szCs w:val="24"/>
        </w:rPr>
        <w:t>范围</w:t>
      </w:r>
      <w:bookmarkEnd w:id="30"/>
    </w:p>
    <w:p>
      <w:pPr>
        <w:spacing w:line="360" w:lineRule="auto"/>
      </w:pPr>
      <w:r>
        <w:rPr>
          <w:rFonts w:hint="eastAsia" w:ascii="宋体"/>
        </w:rPr>
        <w:t>5</w:t>
      </w:r>
      <w:r>
        <w:rPr>
          <w:rFonts w:ascii="宋体"/>
        </w:rPr>
        <w:t xml:space="preserve">.1 </w:t>
      </w:r>
      <w:r>
        <w:rPr>
          <w:rFonts w:hint="eastAsia" w:ascii="宋体"/>
        </w:rPr>
        <w:t>供方的设计界限</w:t>
      </w:r>
      <w:r>
        <w:rPr>
          <w:rFonts w:ascii="宋体"/>
        </w:rPr>
        <w:t>:</w:t>
      </w:r>
      <w:r>
        <w:rPr>
          <w:rFonts w:hint="eastAsia"/>
        </w:rPr>
        <w:t>从斗式提升机的入口法兰至斗提机出料溜管反法兰之间的所有部分。</w:t>
      </w:r>
    </w:p>
    <w:p>
      <w:pPr>
        <w:spacing w:line="360" w:lineRule="auto"/>
        <w:ind w:firstLine="1320" w:firstLineChars="550"/>
      </w:pPr>
      <w:r>
        <w:rPr>
          <w:rFonts w:hint="eastAsia"/>
        </w:rPr>
        <w:t>斗式提升机主要设计参数</w:t>
      </w:r>
      <w:r>
        <w:t xml:space="preserve"> (</w:t>
      </w:r>
      <w:r>
        <w:rPr>
          <w:rFonts w:hint="eastAsia"/>
        </w:rPr>
        <w:t>空白处由供方补充</w:t>
      </w:r>
      <w:r>
        <w:t>)</w:t>
      </w:r>
    </w:p>
    <w:tbl>
      <w:tblPr>
        <w:tblStyle w:val="33"/>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2438"/>
        <w:gridCol w:w="2438"/>
        <w:gridCol w:w="1895"/>
        <w:gridCol w:w="224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blHeader/>
          <w:jc w:val="center"/>
        </w:trPr>
        <w:tc>
          <w:tcPr>
            <w:tcW w:w="4876" w:type="dxa"/>
            <w:gridSpan w:val="2"/>
          </w:tcPr>
          <w:p>
            <w:pPr>
              <w:spacing w:before="120" w:after="120"/>
              <w:rPr>
                <w:rFonts w:ascii="宋体" w:hAnsi="宋体"/>
                <w:sz w:val="21"/>
                <w:szCs w:val="21"/>
              </w:rPr>
            </w:pPr>
            <w:r>
              <w:rPr>
                <w:rFonts w:hint="eastAsia" w:ascii="宋体" w:hAnsi="宋体"/>
                <w:sz w:val="21"/>
                <w:szCs w:val="21"/>
              </w:rPr>
              <w:t>项目</w:t>
            </w:r>
          </w:p>
        </w:tc>
        <w:tc>
          <w:tcPr>
            <w:tcW w:w="1895" w:type="dxa"/>
          </w:tcPr>
          <w:p>
            <w:pPr>
              <w:spacing w:before="120" w:after="120"/>
              <w:jc w:val="center"/>
              <w:rPr>
                <w:rFonts w:ascii="宋体" w:hAnsi="宋体"/>
                <w:sz w:val="21"/>
                <w:szCs w:val="21"/>
              </w:rPr>
            </w:pPr>
            <w:r>
              <w:rPr>
                <w:rFonts w:hint="eastAsia" w:ascii="宋体" w:hAnsi="宋体"/>
                <w:sz w:val="21"/>
                <w:szCs w:val="21"/>
              </w:rPr>
              <w:t>单位</w:t>
            </w:r>
          </w:p>
        </w:tc>
        <w:tc>
          <w:tcPr>
            <w:tcW w:w="2244" w:type="dxa"/>
          </w:tcPr>
          <w:p>
            <w:pPr>
              <w:spacing w:before="120" w:after="120"/>
              <w:jc w:val="center"/>
              <w:rPr>
                <w:rFonts w:ascii="宋体" w:hAnsi="宋体"/>
                <w:sz w:val="21"/>
                <w:szCs w:val="21"/>
              </w:rPr>
            </w:pPr>
            <w:r>
              <w:rPr>
                <w:rFonts w:hint="eastAsia" w:ascii="宋体" w:hAnsi="宋体"/>
                <w:sz w:val="21"/>
                <w:szCs w:val="21"/>
              </w:rPr>
              <w:t>数据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876" w:type="dxa"/>
            <w:gridSpan w:val="2"/>
          </w:tcPr>
          <w:p>
            <w:pPr>
              <w:spacing w:before="120" w:after="120"/>
              <w:rPr>
                <w:rFonts w:ascii="宋体" w:hAnsi="宋体"/>
                <w:sz w:val="21"/>
                <w:szCs w:val="21"/>
              </w:rPr>
            </w:pPr>
            <w:r>
              <w:rPr>
                <w:rFonts w:ascii="宋体" w:hAnsi="宋体"/>
                <w:sz w:val="21"/>
                <w:szCs w:val="21"/>
              </w:rPr>
              <w:t xml:space="preserve">1  </w:t>
            </w:r>
            <w:r>
              <w:rPr>
                <w:rFonts w:hint="eastAsia" w:ascii="宋体" w:hAnsi="宋体"/>
                <w:sz w:val="21"/>
                <w:szCs w:val="21"/>
              </w:rPr>
              <w:t>斗式提升机</w:t>
            </w:r>
          </w:p>
        </w:tc>
        <w:tc>
          <w:tcPr>
            <w:tcW w:w="1895" w:type="dxa"/>
          </w:tcPr>
          <w:p>
            <w:pPr>
              <w:spacing w:before="120" w:after="120"/>
              <w:jc w:val="center"/>
              <w:rPr>
                <w:rFonts w:ascii="宋体" w:hAnsi="宋体"/>
                <w:sz w:val="21"/>
                <w:szCs w:val="21"/>
              </w:rPr>
            </w:pPr>
          </w:p>
        </w:tc>
        <w:tc>
          <w:tcPr>
            <w:tcW w:w="2244" w:type="dxa"/>
          </w:tcPr>
          <w:p>
            <w:pPr>
              <w:spacing w:before="120" w:after="120"/>
              <w:jc w:val="center"/>
              <w:rPr>
                <w:rFonts w:ascii="宋体" w:hAns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876" w:type="dxa"/>
            <w:gridSpan w:val="2"/>
          </w:tcPr>
          <w:p>
            <w:pPr>
              <w:spacing w:before="120" w:after="120"/>
              <w:rPr>
                <w:rFonts w:ascii="宋体" w:hAnsi="宋体"/>
                <w:sz w:val="21"/>
                <w:szCs w:val="21"/>
              </w:rPr>
            </w:pPr>
            <w:r>
              <w:rPr>
                <w:rFonts w:hint="eastAsia" w:ascii="宋体" w:hAnsi="宋体"/>
                <w:sz w:val="21"/>
                <w:szCs w:val="21"/>
              </w:rPr>
              <w:t>－制造厂商</w:t>
            </w:r>
          </w:p>
        </w:tc>
        <w:tc>
          <w:tcPr>
            <w:tcW w:w="1895" w:type="dxa"/>
          </w:tcPr>
          <w:p>
            <w:pPr>
              <w:spacing w:before="120" w:after="120"/>
              <w:jc w:val="center"/>
              <w:rPr>
                <w:rFonts w:ascii="宋体" w:hAnsi="宋体"/>
                <w:sz w:val="21"/>
                <w:szCs w:val="21"/>
              </w:rPr>
            </w:pPr>
          </w:p>
        </w:tc>
        <w:tc>
          <w:tcPr>
            <w:tcW w:w="2244" w:type="dxa"/>
          </w:tcPr>
          <w:p>
            <w:pPr>
              <w:spacing w:before="120" w:after="120"/>
              <w:jc w:val="center"/>
              <w:rPr>
                <w:rFonts w:ascii="宋体" w:hAns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jc w:val="center"/>
        </w:trPr>
        <w:tc>
          <w:tcPr>
            <w:tcW w:w="4876" w:type="dxa"/>
            <w:gridSpan w:val="2"/>
          </w:tcPr>
          <w:p>
            <w:pPr>
              <w:spacing w:before="120" w:after="120"/>
              <w:rPr>
                <w:rFonts w:ascii="宋体" w:hAnsi="宋体"/>
                <w:sz w:val="21"/>
                <w:szCs w:val="21"/>
              </w:rPr>
            </w:pPr>
            <w:r>
              <w:rPr>
                <w:rFonts w:hint="eastAsia" w:ascii="宋体" w:hAnsi="宋体"/>
                <w:sz w:val="21"/>
                <w:szCs w:val="21"/>
              </w:rPr>
              <w:t>－数量</w:t>
            </w:r>
          </w:p>
        </w:tc>
        <w:tc>
          <w:tcPr>
            <w:tcW w:w="1895" w:type="dxa"/>
          </w:tcPr>
          <w:p>
            <w:pPr>
              <w:spacing w:before="120" w:after="120"/>
              <w:jc w:val="center"/>
              <w:rPr>
                <w:rFonts w:ascii="宋体" w:hAnsi="宋体"/>
                <w:sz w:val="21"/>
                <w:szCs w:val="21"/>
              </w:rPr>
            </w:pPr>
            <w:r>
              <w:rPr>
                <w:rFonts w:hint="eastAsia" w:ascii="宋体" w:hAnsi="宋体"/>
                <w:sz w:val="21"/>
                <w:szCs w:val="21"/>
              </w:rPr>
              <w:t>台</w:t>
            </w:r>
          </w:p>
        </w:tc>
        <w:tc>
          <w:tcPr>
            <w:tcW w:w="2244" w:type="dxa"/>
          </w:tcPr>
          <w:p>
            <w:pPr>
              <w:spacing w:before="120" w:after="120"/>
              <w:jc w:val="center"/>
              <w:rPr>
                <w:rFonts w:ascii="宋体" w:hAnsi="宋体"/>
                <w:sz w:val="21"/>
                <w:szCs w:val="21"/>
              </w:rPr>
            </w:pPr>
            <w:r>
              <w:rPr>
                <w:rFonts w:ascii="宋体" w:hAnsi="宋体"/>
                <w:sz w:val="21"/>
                <w:szCs w:val="21"/>
              </w:rP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876" w:type="dxa"/>
            <w:gridSpan w:val="2"/>
          </w:tcPr>
          <w:p>
            <w:pPr>
              <w:spacing w:before="120" w:after="120"/>
              <w:rPr>
                <w:rFonts w:ascii="宋体" w:hAnsi="宋体"/>
                <w:sz w:val="21"/>
                <w:szCs w:val="21"/>
              </w:rPr>
            </w:pPr>
            <w:r>
              <w:rPr>
                <w:rFonts w:hint="eastAsia" w:ascii="宋体" w:hAnsi="宋体"/>
                <w:sz w:val="21"/>
                <w:szCs w:val="21"/>
              </w:rPr>
              <w:t>－型号</w:t>
            </w:r>
          </w:p>
        </w:tc>
        <w:tc>
          <w:tcPr>
            <w:tcW w:w="1895" w:type="dxa"/>
          </w:tcPr>
          <w:p>
            <w:pPr>
              <w:spacing w:before="120" w:after="120"/>
              <w:jc w:val="center"/>
              <w:rPr>
                <w:rFonts w:ascii="宋体" w:hAnsi="宋体"/>
                <w:sz w:val="21"/>
                <w:szCs w:val="21"/>
              </w:rPr>
            </w:pPr>
          </w:p>
        </w:tc>
        <w:tc>
          <w:tcPr>
            <w:tcW w:w="2244" w:type="dxa"/>
          </w:tcPr>
          <w:p>
            <w:pPr>
              <w:spacing w:before="120" w:after="120"/>
              <w:jc w:val="center"/>
              <w:rPr>
                <w:rFonts w:ascii="宋体" w:hAns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876" w:type="dxa"/>
            <w:gridSpan w:val="2"/>
          </w:tcPr>
          <w:p>
            <w:pPr>
              <w:spacing w:before="120" w:after="120"/>
              <w:rPr>
                <w:rFonts w:ascii="宋体" w:hAnsi="宋体"/>
                <w:sz w:val="21"/>
                <w:szCs w:val="21"/>
              </w:rPr>
            </w:pPr>
            <w:r>
              <w:rPr>
                <w:rFonts w:hint="eastAsia" w:ascii="宋体" w:hAnsi="宋体"/>
                <w:sz w:val="21"/>
                <w:szCs w:val="21"/>
              </w:rPr>
              <w:t>－每台输送量</w:t>
            </w:r>
          </w:p>
        </w:tc>
        <w:tc>
          <w:tcPr>
            <w:tcW w:w="1895" w:type="dxa"/>
          </w:tcPr>
          <w:p>
            <w:pPr>
              <w:spacing w:before="120" w:after="120"/>
              <w:jc w:val="center"/>
              <w:rPr>
                <w:rFonts w:ascii="宋体" w:hAnsi="宋体"/>
                <w:sz w:val="21"/>
                <w:szCs w:val="21"/>
              </w:rPr>
            </w:pPr>
            <w:r>
              <w:rPr>
                <w:rFonts w:ascii="宋体" w:hAnsi="宋体"/>
                <w:sz w:val="21"/>
                <w:szCs w:val="21"/>
              </w:rPr>
              <w:t>t/h</w:t>
            </w:r>
          </w:p>
        </w:tc>
        <w:tc>
          <w:tcPr>
            <w:tcW w:w="2244" w:type="dxa"/>
          </w:tcPr>
          <w:p>
            <w:pPr>
              <w:spacing w:before="120" w:after="120"/>
              <w:jc w:val="center"/>
              <w:rPr>
                <w:rFonts w:ascii="宋体" w:hAns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876" w:type="dxa"/>
            <w:gridSpan w:val="2"/>
          </w:tcPr>
          <w:p>
            <w:pPr>
              <w:spacing w:before="120" w:after="120"/>
              <w:rPr>
                <w:rFonts w:ascii="宋体" w:hAnsi="宋体"/>
                <w:sz w:val="21"/>
                <w:szCs w:val="21"/>
              </w:rPr>
            </w:pPr>
            <w:r>
              <w:rPr>
                <w:rFonts w:hint="eastAsia" w:ascii="宋体" w:hAnsi="宋体"/>
                <w:sz w:val="21"/>
                <w:szCs w:val="21"/>
              </w:rPr>
              <w:t>－提升高度</w:t>
            </w:r>
          </w:p>
        </w:tc>
        <w:tc>
          <w:tcPr>
            <w:tcW w:w="1895" w:type="dxa"/>
          </w:tcPr>
          <w:p>
            <w:pPr>
              <w:spacing w:before="120" w:after="120"/>
              <w:jc w:val="center"/>
              <w:rPr>
                <w:rFonts w:ascii="宋体" w:hAnsi="宋体"/>
                <w:sz w:val="21"/>
                <w:szCs w:val="21"/>
              </w:rPr>
            </w:pPr>
            <w:r>
              <w:rPr>
                <w:rFonts w:hint="eastAsia" w:ascii="宋体" w:hAnsi="宋体"/>
                <w:sz w:val="21"/>
                <w:szCs w:val="21"/>
              </w:rPr>
              <w:t>m</w:t>
            </w:r>
          </w:p>
        </w:tc>
        <w:tc>
          <w:tcPr>
            <w:tcW w:w="2244" w:type="dxa"/>
          </w:tcPr>
          <w:p>
            <w:pPr>
              <w:spacing w:before="120" w:after="120"/>
              <w:jc w:val="center"/>
              <w:rPr>
                <w:rFonts w:ascii="宋体" w:hAns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876" w:type="dxa"/>
            <w:gridSpan w:val="2"/>
          </w:tcPr>
          <w:p>
            <w:pPr>
              <w:spacing w:before="120" w:after="120"/>
              <w:rPr>
                <w:rFonts w:ascii="宋体" w:hAnsi="宋体"/>
                <w:sz w:val="21"/>
                <w:szCs w:val="21"/>
              </w:rPr>
            </w:pPr>
            <w:r>
              <w:rPr>
                <w:rFonts w:hint="eastAsia" w:ascii="宋体" w:hAnsi="宋体"/>
                <w:sz w:val="21"/>
                <w:szCs w:val="21"/>
              </w:rPr>
              <w:t>－外形尺寸（长×宽×高）</w:t>
            </w:r>
          </w:p>
        </w:tc>
        <w:tc>
          <w:tcPr>
            <w:tcW w:w="1895" w:type="dxa"/>
          </w:tcPr>
          <w:p>
            <w:pPr>
              <w:spacing w:before="120" w:after="120"/>
              <w:jc w:val="center"/>
              <w:rPr>
                <w:rFonts w:ascii="宋体" w:hAnsi="宋体"/>
                <w:sz w:val="21"/>
                <w:szCs w:val="21"/>
              </w:rPr>
            </w:pPr>
            <w:r>
              <w:rPr>
                <w:rFonts w:hint="eastAsia" w:ascii="宋体" w:hAnsi="宋体"/>
                <w:sz w:val="21"/>
                <w:szCs w:val="21"/>
              </w:rPr>
              <w:t>m×m×m</w:t>
            </w:r>
          </w:p>
        </w:tc>
        <w:tc>
          <w:tcPr>
            <w:tcW w:w="2244" w:type="dxa"/>
          </w:tcPr>
          <w:p>
            <w:pPr>
              <w:spacing w:before="120" w:after="120"/>
              <w:jc w:val="center"/>
              <w:rPr>
                <w:rFonts w:ascii="宋体" w:hAns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876" w:type="dxa"/>
            <w:gridSpan w:val="2"/>
          </w:tcPr>
          <w:p>
            <w:pPr>
              <w:spacing w:before="120" w:after="120"/>
              <w:rPr>
                <w:rFonts w:ascii="宋体" w:hAnsi="宋体"/>
                <w:sz w:val="21"/>
                <w:szCs w:val="21"/>
              </w:rPr>
            </w:pPr>
            <w:r>
              <w:rPr>
                <w:rFonts w:hint="eastAsia" w:ascii="宋体" w:hAnsi="宋体"/>
                <w:sz w:val="21"/>
                <w:szCs w:val="21"/>
              </w:rPr>
              <w:t>－重量</w:t>
            </w:r>
          </w:p>
        </w:tc>
        <w:tc>
          <w:tcPr>
            <w:tcW w:w="1895" w:type="dxa"/>
          </w:tcPr>
          <w:p>
            <w:pPr>
              <w:spacing w:before="120" w:after="120"/>
              <w:jc w:val="center"/>
              <w:rPr>
                <w:rFonts w:ascii="宋体" w:hAnsi="宋体"/>
                <w:sz w:val="21"/>
                <w:szCs w:val="21"/>
              </w:rPr>
            </w:pPr>
            <w:r>
              <w:rPr>
                <w:rFonts w:hint="eastAsia" w:ascii="宋体" w:hAnsi="宋体"/>
                <w:sz w:val="21"/>
                <w:szCs w:val="21"/>
              </w:rPr>
              <w:t>kg</w:t>
            </w:r>
          </w:p>
        </w:tc>
        <w:tc>
          <w:tcPr>
            <w:tcW w:w="2244" w:type="dxa"/>
          </w:tcPr>
          <w:p>
            <w:pPr>
              <w:spacing w:before="120" w:after="120"/>
              <w:jc w:val="center"/>
              <w:rPr>
                <w:rFonts w:ascii="宋体" w:hAns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876" w:type="dxa"/>
            <w:gridSpan w:val="2"/>
          </w:tcPr>
          <w:p>
            <w:pPr>
              <w:spacing w:before="120" w:after="120"/>
              <w:rPr>
                <w:rFonts w:ascii="宋体" w:hAnsi="宋体"/>
                <w:sz w:val="21"/>
                <w:szCs w:val="21"/>
              </w:rPr>
            </w:pPr>
            <w:r>
              <w:rPr>
                <w:rFonts w:hint="eastAsia" w:ascii="宋体" w:hAnsi="宋体"/>
                <w:sz w:val="21"/>
                <w:szCs w:val="21"/>
              </w:rPr>
              <w:t>－传动方式</w:t>
            </w:r>
          </w:p>
        </w:tc>
        <w:tc>
          <w:tcPr>
            <w:tcW w:w="1895" w:type="dxa"/>
          </w:tcPr>
          <w:p>
            <w:pPr>
              <w:spacing w:before="120" w:after="120"/>
              <w:jc w:val="center"/>
              <w:rPr>
                <w:rFonts w:ascii="宋体" w:hAnsi="宋体"/>
                <w:sz w:val="21"/>
                <w:szCs w:val="21"/>
              </w:rPr>
            </w:pPr>
          </w:p>
        </w:tc>
        <w:tc>
          <w:tcPr>
            <w:tcW w:w="2244" w:type="dxa"/>
          </w:tcPr>
          <w:p>
            <w:pPr>
              <w:spacing w:before="120" w:after="120"/>
              <w:jc w:val="center"/>
              <w:rPr>
                <w:rFonts w:ascii="宋体" w:hAns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876" w:type="dxa"/>
            <w:gridSpan w:val="2"/>
          </w:tcPr>
          <w:p>
            <w:pPr>
              <w:spacing w:before="120" w:after="120" w:line="240" w:lineRule="atLeast"/>
              <w:rPr>
                <w:sz w:val="21"/>
                <w:szCs w:val="21"/>
              </w:rPr>
            </w:pPr>
            <w:r>
              <w:rPr>
                <w:rFonts w:hint="eastAsia"/>
                <w:sz w:val="21"/>
                <w:szCs w:val="21"/>
              </w:rPr>
              <w:t>－电机型号</w:t>
            </w:r>
          </w:p>
        </w:tc>
        <w:tc>
          <w:tcPr>
            <w:tcW w:w="1895" w:type="dxa"/>
          </w:tcPr>
          <w:p>
            <w:pPr>
              <w:spacing w:before="120" w:after="120" w:line="240" w:lineRule="atLeast"/>
              <w:jc w:val="center"/>
              <w:rPr>
                <w:sz w:val="21"/>
                <w:szCs w:val="21"/>
              </w:rPr>
            </w:pPr>
          </w:p>
        </w:tc>
        <w:tc>
          <w:tcPr>
            <w:tcW w:w="2244" w:type="dxa"/>
          </w:tcPr>
          <w:p>
            <w:pPr>
              <w:spacing w:before="120" w:after="120" w:line="240" w:lineRule="atLeast"/>
              <w:jc w:val="center"/>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876" w:type="dxa"/>
            <w:gridSpan w:val="2"/>
          </w:tcPr>
          <w:p>
            <w:pPr>
              <w:spacing w:before="120" w:after="120" w:line="240" w:lineRule="atLeast"/>
              <w:rPr>
                <w:sz w:val="21"/>
                <w:szCs w:val="21"/>
              </w:rPr>
            </w:pPr>
            <w:r>
              <w:rPr>
                <w:rFonts w:hint="eastAsia"/>
                <w:sz w:val="21"/>
                <w:szCs w:val="21"/>
              </w:rPr>
              <w:t>－电机</w:t>
            </w:r>
            <w:r>
              <w:rPr>
                <w:rFonts w:hint="eastAsia" w:ascii="宋体" w:hAnsi="宋体"/>
                <w:sz w:val="21"/>
                <w:szCs w:val="21"/>
              </w:rPr>
              <w:t>制造厂商（三家）</w:t>
            </w:r>
          </w:p>
        </w:tc>
        <w:tc>
          <w:tcPr>
            <w:tcW w:w="1895" w:type="dxa"/>
          </w:tcPr>
          <w:p>
            <w:pPr>
              <w:spacing w:before="120" w:after="120" w:line="240" w:lineRule="atLeast"/>
              <w:jc w:val="center"/>
              <w:rPr>
                <w:sz w:val="21"/>
                <w:szCs w:val="21"/>
              </w:rPr>
            </w:pPr>
          </w:p>
        </w:tc>
        <w:tc>
          <w:tcPr>
            <w:tcW w:w="2244" w:type="dxa"/>
          </w:tcPr>
          <w:p>
            <w:pPr>
              <w:spacing w:before="120" w:after="120" w:line="240" w:lineRule="atLeast"/>
              <w:jc w:val="center"/>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876" w:type="dxa"/>
            <w:gridSpan w:val="2"/>
          </w:tcPr>
          <w:p>
            <w:pPr>
              <w:spacing w:before="120" w:after="120" w:line="240" w:lineRule="atLeast"/>
              <w:rPr>
                <w:sz w:val="21"/>
                <w:szCs w:val="21"/>
              </w:rPr>
            </w:pPr>
            <w:r>
              <w:rPr>
                <w:rFonts w:hint="eastAsia"/>
                <w:sz w:val="21"/>
                <w:szCs w:val="21"/>
              </w:rPr>
              <w:t>－电机功率</w:t>
            </w:r>
          </w:p>
        </w:tc>
        <w:tc>
          <w:tcPr>
            <w:tcW w:w="1895" w:type="dxa"/>
          </w:tcPr>
          <w:p>
            <w:pPr>
              <w:spacing w:before="120" w:after="120" w:line="240" w:lineRule="atLeast"/>
              <w:jc w:val="center"/>
              <w:rPr>
                <w:sz w:val="21"/>
                <w:szCs w:val="21"/>
              </w:rPr>
            </w:pPr>
            <w:r>
              <w:rPr>
                <w:sz w:val="21"/>
                <w:szCs w:val="21"/>
              </w:rPr>
              <w:t>kW</w:t>
            </w:r>
          </w:p>
        </w:tc>
        <w:tc>
          <w:tcPr>
            <w:tcW w:w="2244" w:type="dxa"/>
          </w:tcPr>
          <w:p>
            <w:pPr>
              <w:spacing w:before="120" w:after="120" w:line="240" w:lineRule="atLeast"/>
              <w:jc w:val="center"/>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876" w:type="dxa"/>
            <w:gridSpan w:val="2"/>
          </w:tcPr>
          <w:p>
            <w:pPr>
              <w:spacing w:before="120" w:after="120" w:line="240" w:lineRule="atLeast"/>
              <w:rPr>
                <w:sz w:val="21"/>
                <w:szCs w:val="21"/>
              </w:rPr>
            </w:pPr>
            <w:r>
              <w:rPr>
                <w:rFonts w:hint="eastAsia"/>
                <w:sz w:val="21"/>
                <w:szCs w:val="21"/>
              </w:rPr>
              <w:t>－电机防护等级</w:t>
            </w:r>
          </w:p>
        </w:tc>
        <w:tc>
          <w:tcPr>
            <w:tcW w:w="1895" w:type="dxa"/>
          </w:tcPr>
          <w:p>
            <w:pPr>
              <w:spacing w:before="120" w:after="120" w:line="240" w:lineRule="atLeast"/>
              <w:jc w:val="center"/>
              <w:rPr>
                <w:sz w:val="21"/>
                <w:szCs w:val="21"/>
              </w:rPr>
            </w:pPr>
          </w:p>
        </w:tc>
        <w:tc>
          <w:tcPr>
            <w:tcW w:w="2244" w:type="dxa"/>
          </w:tcPr>
          <w:p>
            <w:pPr>
              <w:spacing w:before="120" w:after="120" w:line="240" w:lineRule="atLeast"/>
              <w:jc w:val="center"/>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876" w:type="dxa"/>
            <w:gridSpan w:val="2"/>
          </w:tcPr>
          <w:p>
            <w:pPr>
              <w:spacing w:before="120" w:after="120" w:line="240" w:lineRule="atLeast"/>
              <w:rPr>
                <w:sz w:val="21"/>
                <w:szCs w:val="21"/>
              </w:rPr>
            </w:pPr>
            <w:r>
              <w:rPr>
                <w:rFonts w:hint="eastAsia"/>
                <w:sz w:val="21"/>
                <w:szCs w:val="21"/>
              </w:rPr>
              <w:t>－电机绝缘等级</w:t>
            </w:r>
          </w:p>
        </w:tc>
        <w:tc>
          <w:tcPr>
            <w:tcW w:w="1895" w:type="dxa"/>
          </w:tcPr>
          <w:p>
            <w:pPr>
              <w:spacing w:before="120" w:after="120" w:line="240" w:lineRule="atLeast"/>
              <w:jc w:val="center"/>
              <w:rPr>
                <w:sz w:val="21"/>
                <w:szCs w:val="21"/>
              </w:rPr>
            </w:pPr>
          </w:p>
        </w:tc>
        <w:tc>
          <w:tcPr>
            <w:tcW w:w="2244" w:type="dxa"/>
          </w:tcPr>
          <w:p>
            <w:pPr>
              <w:spacing w:before="120" w:after="120" w:line="240" w:lineRule="atLeast"/>
              <w:jc w:val="center"/>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876" w:type="dxa"/>
            <w:gridSpan w:val="2"/>
          </w:tcPr>
          <w:p>
            <w:pPr>
              <w:spacing w:before="120" w:after="120" w:line="240" w:lineRule="atLeast"/>
              <w:rPr>
                <w:sz w:val="21"/>
                <w:szCs w:val="21"/>
              </w:rPr>
            </w:pPr>
            <w:r>
              <w:rPr>
                <w:rFonts w:hint="eastAsia"/>
                <w:sz w:val="21"/>
                <w:szCs w:val="21"/>
              </w:rPr>
              <w:t>－减速器型号</w:t>
            </w:r>
          </w:p>
        </w:tc>
        <w:tc>
          <w:tcPr>
            <w:tcW w:w="1895" w:type="dxa"/>
          </w:tcPr>
          <w:p>
            <w:pPr>
              <w:spacing w:before="120" w:after="120" w:line="240" w:lineRule="atLeast"/>
              <w:jc w:val="center"/>
              <w:rPr>
                <w:sz w:val="21"/>
                <w:szCs w:val="21"/>
              </w:rPr>
            </w:pPr>
          </w:p>
        </w:tc>
        <w:tc>
          <w:tcPr>
            <w:tcW w:w="2244" w:type="dxa"/>
          </w:tcPr>
          <w:p>
            <w:pPr>
              <w:spacing w:before="120" w:after="120" w:line="240" w:lineRule="atLeast"/>
              <w:jc w:val="center"/>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876" w:type="dxa"/>
            <w:gridSpan w:val="2"/>
          </w:tcPr>
          <w:p>
            <w:pPr>
              <w:spacing w:before="120" w:after="120" w:line="240" w:lineRule="atLeast"/>
              <w:rPr>
                <w:sz w:val="21"/>
                <w:szCs w:val="21"/>
              </w:rPr>
            </w:pPr>
            <w:r>
              <w:rPr>
                <w:rFonts w:hint="eastAsia"/>
                <w:sz w:val="21"/>
                <w:szCs w:val="21"/>
              </w:rPr>
              <w:t>－速比</w:t>
            </w:r>
          </w:p>
        </w:tc>
        <w:tc>
          <w:tcPr>
            <w:tcW w:w="1895" w:type="dxa"/>
          </w:tcPr>
          <w:p>
            <w:pPr>
              <w:spacing w:before="120" w:after="120" w:line="240" w:lineRule="atLeast"/>
              <w:jc w:val="center"/>
              <w:rPr>
                <w:sz w:val="21"/>
                <w:szCs w:val="21"/>
              </w:rPr>
            </w:pPr>
          </w:p>
        </w:tc>
        <w:tc>
          <w:tcPr>
            <w:tcW w:w="2244" w:type="dxa"/>
          </w:tcPr>
          <w:p>
            <w:pPr>
              <w:spacing w:before="120" w:after="120" w:line="240" w:lineRule="atLeast"/>
              <w:jc w:val="center"/>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876" w:type="dxa"/>
            <w:gridSpan w:val="2"/>
          </w:tcPr>
          <w:p>
            <w:pPr>
              <w:spacing w:before="120" w:after="120" w:line="240" w:lineRule="atLeast"/>
              <w:rPr>
                <w:sz w:val="21"/>
                <w:szCs w:val="21"/>
              </w:rPr>
            </w:pPr>
            <w:r>
              <w:rPr>
                <w:rFonts w:hint="eastAsia" w:ascii="宋体" w:hAnsi="宋体"/>
                <w:sz w:val="21"/>
                <w:szCs w:val="21"/>
              </w:rPr>
              <w:t>－减速器制造厂商（三家）</w:t>
            </w:r>
          </w:p>
        </w:tc>
        <w:tc>
          <w:tcPr>
            <w:tcW w:w="1895" w:type="dxa"/>
          </w:tcPr>
          <w:p>
            <w:pPr>
              <w:spacing w:before="120" w:after="120" w:line="240" w:lineRule="atLeast"/>
              <w:jc w:val="center"/>
              <w:rPr>
                <w:sz w:val="21"/>
                <w:szCs w:val="21"/>
              </w:rPr>
            </w:pPr>
          </w:p>
        </w:tc>
        <w:tc>
          <w:tcPr>
            <w:tcW w:w="2244" w:type="dxa"/>
          </w:tcPr>
          <w:p>
            <w:pPr>
              <w:spacing w:before="120" w:after="120" w:line="240" w:lineRule="atLeast"/>
              <w:jc w:val="center"/>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876" w:type="dxa"/>
            <w:gridSpan w:val="2"/>
          </w:tcPr>
          <w:p>
            <w:pPr>
              <w:spacing w:before="120" w:after="120"/>
              <w:rPr>
                <w:rFonts w:ascii="宋体" w:hAnsi="宋体"/>
                <w:sz w:val="21"/>
                <w:szCs w:val="21"/>
              </w:rPr>
            </w:pPr>
            <w:r>
              <w:rPr>
                <w:rFonts w:hint="eastAsia" w:ascii="宋体" w:hAnsi="宋体"/>
                <w:sz w:val="21"/>
                <w:szCs w:val="21"/>
              </w:rPr>
              <w:t>－斗速</w:t>
            </w:r>
          </w:p>
        </w:tc>
        <w:tc>
          <w:tcPr>
            <w:tcW w:w="1895" w:type="dxa"/>
          </w:tcPr>
          <w:p>
            <w:pPr>
              <w:spacing w:before="120" w:after="120"/>
              <w:jc w:val="center"/>
              <w:rPr>
                <w:rFonts w:ascii="宋体" w:hAnsi="宋体"/>
                <w:sz w:val="21"/>
                <w:szCs w:val="21"/>
              </w:rPr>
            </w:pPr>
          </w:p>
        </w:tc>
        <w:tc>
          <w:tcPr>
            <w:tcW w:w="2244" w:type="dxa"/>
          </w:tcPr>
          <w:p>
            <w:pPr>
              <w:spacing w:before="120" w:after="120"/>
              <w:jc w:val="center"/>
              <w:rPr>
                <w:rFonts w:ascii="宋体" w:hAns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876" w:type="dxa"/>
            <w:gridSpan w:val="2"/>
          </w:tcPr>
          <w:p>
            <w:pPr>
              <w:spacing w:before="120" w:after="120"/>
              <w:rPr>
                <w:rFonts w:ascii="宋体" w:hAnsi="宋体"/>
                <w:sz w:val="21"/>
                <w:szCs w:val="21"/>
              </w:rPr>
            </w:pPr>
            <w:r>
              <w:rPr>
                <w:rFonts w:hint="eastAsia" w:ascii="宋体" w:hAnsi="宋体"/>
                <w:sz w:val="21"/>
                <w:szCs w:val="21"/>
              </w:rPr>
              <w:t>－牵引链条型式</w:t>
            </w:r>
          </w:p>
        </w:tc>
        <w:tc>
          <w:tcPr>
            <w:tcW w:w="1895" w:type="dxa"/>
          </w:tcPr>
          <w:p>
            <w:pPr>
              <w:spacing w:before="120" w:after="120"/>
              <w:jc w:val="center"/>
              <w:rPr>
                <w:rFonts w:ascii="宋体" w:hAnsi="宋体"/>
                <w:sz w:val="21"/>
                <w:szCs w:val="21"/>
              </w:rPr>
            </w:pPr>
          </w:p>
        </w:tc>
        <w:tc>
          <w:tcPr>
            <w:tcW w:w="2244" w:type="dxa"/>
          </w:tcPr>
          <w:p>
            <w:pPr>
              <w:spacing w:before="120" w:after="120"/>
              <w:jc w:val="center"/>
              <w:rPr>
                <w:rFonts w:ascii="宋体" w:hAns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876" w:type="dxa"/>
            <w:gridSpan w:val="2"/>
          </w:tcPr>
          <w:p>
            <w:pPr>
              <w:spacing w:before="120" w:after="120"/>
              <w:rPr>
                <w:rFonts w:ascii="宋体" w:hAnsi="宋体"/>
                <w:sz w:val="21"/>
                <w:szCs w:val="21"/>
              </w:rPr>
            </w:pPr>
            <w:r>
              <w:rPr>
                <w:rFonts w:hint="eastAsia" w:ascii="宋体" w:hAnsi="宋体"/>
                <w:sz w:val="21"/>
                <w:szCs w:val="21"/>
              </w:rPr>
              <w:t>－牵引链条许用张力</w:t>
            </w:r>
          </w:p>
        </w:tc>
        <w:tc>
          <w:tcPr>
            <w:tcW w:w="1895" w:type="dxa"/>
          </w:tcPr>
          <w:p>
            <w:pPr>
              <w:spacing w:before="120" w:after="120"/>
              <w:jc w:val="center"/>
              <w:rPr>
                <w:rFonts w:ascii="宋体" w:hAnsi="宋体"/>
                <w:sz w:val="21"/>
                <w:szCs w:val="21"/>
              </w:rPr>
            </w:pPr>
          </w:p>
        </w:tc>
        <w:tc>
          <w:tcPr>
            <w:tcW w:w="2244" w:type="dxa"/>
          </w:tcPr>
          <w:p>
            <w:pPr>
              <w:spacing w:before="120" w:after="120"/>
              <w:jc w:val="center"/>
              <w:rPr>
                <w:rFonts w:ascii="宋体" w:hAns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876" w:type="dxa"/>
            <w:gridSpan w:val="2"/>
          </w:tcPr>
          <w:p>
            <w:pPr>
              <w:spacing w:before="120" w:after="120"/>
              <w:rPr>
                <w:rFonts w:ascii="宋体" w:hAnsi="宋体"/>
                <w:sz w:val="21"/>
                <w:szCs w:val="21"/>
              </w:rPr>
            </w:pPr>
            <w:r>
              <w:rPr>
                <w:rFonts w:hint="eastAsia" w:ascii="宋体" w:hAnsi="宋体"/>
                <w:sz w:val="21"/>
                <w:szCs w:val="21"/>
              </w:rPr>
              <w:t>－牵引链条制造厂商</w:t>
            </w:r>
          </w:p>
        </w:tc>
        <w:tc>
          <w:tcPr>
            <w:tcW w:w="1895" w:type="dxa"/>
          </w:tcPr>
          <w:p>
            <w:pPr>
              <w:spacing w:before="120" w:after="120"/>
              <w:jc w:val="center"/>
              <w:rPr>
                <w:rFonts w:ascii="宋体" w:hAnsi="宋体"/>
                <w:sz w:val="21"/>
                <w:szCs w:val="21"/>
              </w:rPr>
            </w:pPr>
          </w:p>
        </w:tc>
        <w:tc>
          <w:tcPr>
            <w:tcW w:w="2244" w:type="dxa"/>
          </w:tcPr>
          <w:p>
            <w:pPr>
              <w:spacing w:before="120" w:after="120"/>
              <w:jc w:val="center"/>
              <w:rPr>
                <w:rFonts w:ascii="宋体" w:hAns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876" w:type="dxa"/>
            <w:gridSpan w:val="2"/>
          </w:tcPr>
          <w:p>
            <w:pPr>
              <w:spacing w:before="120" w:after="120"/>
              <w:rPr>
                <w:rFonts w:ascii="宋体" w:hAnsi="宋体"/>
                <w:sz w:val="21"/>
                <w:szCs w:val="21"/>
              </w:rPr>
            </w:pPr>
            <w:r>
              <w:rPr>
                <w:rFonts w:hint="eastAsia" w:ascii="宋体" w:hAnsi="宋体"/>
                <w:sz w:val="21"/>
                <w:szCs w:val="21"/>
              </w:rPr>
              <w:t>－易损件使用寿命</w:t>
            </w:r>
          </w:p>
        </w:tc>
        <w:tc>
          <w:tcPr>
            <w:tcW w:w="1895" w:type="dxa"/>
          </w:tcPr>
          <w:p>
            <w:pPr>
              <w:spacing w:before="120" w:after="120"/>
              <w:jc w:val="center"/>
              <w:rPr>
                <w:rFonts w:ascii="宋体" w:hAnsi="宋体"/>
                <w:sz w:val="21"/>
                <w:szCs w:val="21"/>
              </w:rPr>
            </w:pPr>
            <w:r>
              <w:rPr>
                <w:rFonts w:hint="eastAsia" w:ascii="宋体" w:hAnsi="宋体"/>
                <w:sz w:val="21"/>
                <w:szCs w:val="21"/>
              </w:rPr>
              <w:t xml:space="preserve">  小时</w:t>
            </w:r>
          </w:p>
        </w:tc>
        <w:tc>
          <w:tcPr>
            <w:tcW w:w="2244" w:type="dxa"/>
          </w:tcPr>
          <w:p>
            <w:pPr>
              <w:spacing w:before="120" w:after="120"/>
              <w:jc w:val="center"/>
              <w:rPr>
                <w:rFonts w:ascii="宋体" w:hAns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76" w:hRule="atLeast"/>
          <w:jc w:val="center"/>
        </w:trPr>
        <w:tc>
          <w:tcPr>
            <w:tcW w:w="2438" w:type="dxa"/>
            <w:vMerge w:val="restart"/>
          </w:tcPr>
          <w:p>
            <w:pPr>
              <w:spacing w:before="120" w:after="120"/>
              <w:rPr>
                <w:rFonts w:ascii="宋体" w:hAnsi="宋体"/>
                <w:position w:val="-50"/>
                <w:sz w:val="21"/>
                <w:szCs w:val="21"/>
              </w:rPr>
            </w:pPr>
            <w:r>
              <w:rPr>
                <w:rFonts w:hint="eastAsia" w:ascii="宋体" w:hAnsi="宋体"/>
                <w:position w:val="-50"/>
                <w:sz w:val="21"/>
                <w:szCs w:val="21"/>
              </w:rPr>
              <w:t>－壳体</w:t>
            </w:r>
          </w:p>
        </w:tc>
        <w:tc>
          <w:tcPr>
            <w:tcW w:w="2438" w:type="dxa"/>
          </w:tcPr>
          <w:p>
            <w:pPr>
              <w:spacing w:before="120" w:after="120"/>
              <w:rPr>
                <w:rFonts w:ascii="宋体" w:hAnsi="宋体"/>
                <w:sz w:val="21"/>
                <w:szCs w:val="21"/>
              </w:rPr>
            </w:pPr>
            <w:r>
              <w:rPr>
                <w:rFonts w:hint="eastAsia" w:ascii="宋体" w:hAnsi="宋体"/>
                <w:sz w:val="21"/>
                <w:szCs w:val="21"/>
              </w:rPr>
              <w:t>厚度</w:t>
            </w:r>
          </w:p>
        </w:tc>
        <w:tc>
          <w:tcPr>
            <w:tcW w:w="1895" w:type="dxa"/>
          </w:tcPr>
          <w:p>
            <w:pPr>
              <w:spacing w:before="120" w:after="120"/>
              <w:jc w:val="center"/>
              <w:rPr>
                <w:rFonts w:ascii="宋体" w:hAnsi="宋体"/>
                <w:sz w:val="21"/>
                <w:szCs w:val="21"/>
              </w:rPr>
            </w:pPr>
            <w:r>
              <w:rPr>
                <w:rFonts w:ascii="宋体" w:hAnsi="宋体"/>
                <w:sz w:val="21"/>
                <w:szCs w:val="21"/>
              </w:rPr>
              <w:t>mm</w:t>
            </w:r>
          </w:p>
        </w:tc>
        <w:tc>
          <w:tcPr>
            <w:tcW w:w="2244" w:type="dxa"/>
          </w:tcPr>
          <w:p>
            <w:pPr>
              <w:spacing w:before="120" w:after="120"/>
              <w:jc w:val="center"/>
              <w:rPr>
                <w:rFonts w:ascii="宋体" w:hAns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76" w:hRule="atLeast"/>
          <w:jc w:val="center"/>
        </w:trPr>
        <w:tc>
          <w:tcPr>
            <w:tcW w:w="2438" w:type="dxa"/>
            <w:vMerge w:val="continue"/>
          </w:tcPr>
          <w:p>
            <w:pPr>
              <w:spacing w:before="120" w:after="120"/>
              <w:rPr>
                <w:rFonts w:ascii="宋体" w:hAnsi="宋体"/>
                <w:position w:val="-50"/>
                <w:sz w:val="21"/>
                <w:szCs w:val="21"/>
              </w:rPr>
            </w:pPr>
          </w:p>
        </w:tc>
        <w:tc>
          <w:tcPr>
            <w:tcW w:w="2438" w:type="dxa"/>
          </w:tcPr>
          <w:p>
            <w:pPr>
              <w:spacing w:before="120" w:after="120"/>
              <w:rPr>
                <w:rFonts w:ascii="宋体" w:hAnsi="宋体"/>
                <w:sz w:val="21"/>
                <w:szCs w:val="21"/>
              </w:rPr>
            </w:pPr>
            <w:r>
              <w:rPr>
                <w:rFonts w:hint="eastAsia" w:ascii="宋体" w:hAnsi="宋体"/>
                <w:sz w:val="21"/>
                <w:szCs w:val="21"/>
              </w:rPr>
              <w:t>材料</w:t>
            </w:r>
          </w:p>
        </w:tc>
        <w:tc>
          <w:tcPr>
            <w:tcW w:w="1895" w:type="dxa"/>
          </w:tcPr>
          <w:p>
            <w:pPr>
              <w:spacing w:before="120" w:after="120"/>
              <w:jc w:val="center"/>
              <w:rPr>
                <w:rFonts w:ascii="宋体" w:hAnsi="宋体"/>
                <w:sz w:val="21"/>
                <w:szCs w:val="21"/>
              </w:rPr>
            </w:pPr>
          </w:p>
        </w:tc>
        <w:tc>
          <w:tcPr>
            <w:tcW w:w="2244" w:type="dxa"/>
          </w:tcPr>
          <w:p>
            <w:pPr>
              <w:spacing w:before="120" w:after="120"/>
              <w:jc w:val="center"/>
              <w:rPr>
                <w:rFonts w:ascii="宋体" w:hAns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76" w:hRule="atLeast"/>
          <w:jc w:val="center"/>
        </w:trPr>
        <w:tc>
          <w:tcPr>
            <w:tcW w:w="2438" w:type="dxa"/>
            <w:vMerge w:val="restart"/>
          </w:tcPr>
          <w:p>
            <w:pPr>
              <w:spacing w:before="120" w:after="120"/>
              <w:rPr>
                <w:rFonts w:ascii="宋体" w:hAnsi="宋体"/>
                <w:position w:val="-50"/>
                <w:sz w:val="21"/>
                <w:szCs w:val="21"/>
              </w:rPr>
            </w:pPr>
            <w:r>
              <w:rPr>
                <w:rFonts w:hint="eastAsia" w:ascii="宋体" w:hAnsi="宋体"/>
                <w:position w:val="-50"/>
                <w:sz w:val="21"/>
                <w:szCs w:val="21"/>
              </w:rPr>
              <w:t>－链斗</w:t>
            </w:r>
          </w:p>
        </w:tc>
        <w:tc>
          <w:tcPr>
            <w:tcW w:w="2438" w:type="dxa"/>
          </w:tcPr>
          <w:p>
            <w:pPr>
              <w:spacing w:before="120" w:after="120"/>
              <w:rPr>
                <w:rFonts w:ascii="宋体" w:hAnsi="宋体"/>
                <w:sz w:val="21"/>
                <w:szCs w:val="21"/>
              </w:rPr>
            </w:pPr>
            <w:r>
              <w:rPr>
                <w:rFonts w:hint="eastAsia" w:ascii="宋体" w:hAnsi="宋体"/>
                <w:sz w:val="21"/>
                <w:szCs w:val="21"/>
              </w:rPr>
              <w:t>型式</w:t>
            </w:r>
          </w:p>
        </w:tc>
        <w:tc>
          <w:tcPr>
            <w:tcW w:w="1895" w:type="dxa"/>
          </w:tcPr>
          <w:p>
            <w:pPr>
              <w:spacing w:before="120" w:after="120"/>
              <w:jc w:val="center"/>
              <w:rPr>
                <w:rFonts w:ascii="宋体" w:hAnsi="宋体"/>
                <w:sz w:val="21"/>
                <w:szCs w:val="21"/>
              </w:rPr>
            </w:pPr>
          </w:p>
        </w:tc>
        <w:tc>
          <w:tcPr>
            <w:tcW w:w="2244" w:type="dxa"/>
          </w:tcPr>
          <w:p>
            <w:pPr>
              <w:spacing w:before="120" w:after="120"/>
              <w:jc w:val="center"/>
              <w:rPr>
                <w:rFonts w:ascii="宋体" w:hAns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75" w:hRule="atLeast"/>
          <w:jc w:val="center"/>
        </w:trPr>
        <w:tc>
          <w:tcPr>
            <w:tcW w:w="2438" w:type="dxa"/>
            <w:vMerge w:val="continue"/>
          </w:tcPr>
          <w:p>
            <w:pPr>
              <w:spacing w:before="120" w:after="120"/>
              <w:rPr>
                <w:rFonts w:ascii="宋体" w:hAnsi="宋体"/>
                <w:sz w:val="21"/>
                <w:szCs w:val="21"/>
              </w:rPr>
            </w:pPr>
          </w:p>
        </w:tc>
        <w:tc>
          <w:tcPr>
            <w:tcW w:w="2438" w:type="dxa"/>
          </w:tcPr>
          <w:p>
            <w:pPr>
              <w:spacing w:before="120" w:after="120"/>
              <w:rPr>
                <w:rFonts w:ascii="宋体" w:hAnsi="宋体"/>
                <w:sz w:val="21"/>
                <w:szCs w:val="21"/>
              </w:rPr>
            </w:pPr>
            <w:r>
              <w:rPr>
                <w:rFonts w:hint="eastAsia" w:ascii="宋体" w:hAnsi="宋体"/>
                <w:sz w:val="21"/>
                <w:szCs w:val="21"/>
              </w:rPr>
              <w:t>材料</w:t>
            </w:r>
          </w:p>
        </w:tc>
        <w:tc>
          <w:tcPr>
            <w:tcW w:w="1895" w:type="dxa"/>
          </w:tcPr>
          <w:p>
            <w:pPr>
              <w:spacing w:before="120" w:after="120"/>
              <w:jc w:val="center"/>
              <w:rPr>
                <w:rFonts w:ascii="宋体" w:hAnsi="宋体"/>
                <w:sz w:val="21"/>
                <w:szCs w:val="21"/>
              </w:rPr>
            </w:pPr>
          </w:p>
        </w:tc>
        <w:tc>
          <w:tcPr>
            <w:tcW w:w="2244" w:type="dxa"/>
          </w:tcPr>
          <w:p>
            <w:pPr>
              <w:spacing w:before="120" w:after="120"/>
              <w:jc w:val="center"/>
              <w:rPr>
                <w:rFonts w:ascii="宋体" w:hAns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876" w:type="dxa"/>
            <w:gridSpan w:val="2"/>
          </w:tcPr>
          <w:p>
            <w:pPr>
              <w:spacing w:before="120" w:after="120"/>
              <w:rPr>
                <w:rFonts w:ascii="宋体" w:hAnsi="宋体"/>
                <w:sz w:val="21"/>
                <w:szCs w:val="21"/>
              </w:rPr>
            </w:pPr>
            <w:r>
              <w:rPr>
                <w:rFonts w:hint="eastAsia"/>
                <w:sz w:val="21"/>
                <w:szCs w:val="21"/>
              </w:rPr>
              <w:t>－</w:t>
            </w:r>
            <w:r>
              <w:rPr>
                <w:rFonts w:hint="eastAsia" w:ascii="宋体" w:hAnsi="宋体"/>
                <w:sz w:val="21"/>
                <w:szCs w:val="21"/>
              </w:rPr>
              <w:t>安装地点</w:t>
            </w:r>
          </w:p>
        </w:tc>
        <w:tc>
          <w:tcPr>
            <w:tcW w:w="1895" w:type="dxa"/>
          </w:tcPr>
          <w:p>
            <w:pPr>
              <w:spacing w:before="120" w:after="120"/>
              <w:jc w:val="center"/>
              <w:rPr>
                <w:rFonts w:ascii="宋体" w:hAnsi="宋体"/>
                <w:sz w:val="21"/>
                <w:szCs w:val="21"/>
              </w:rPr>
            </w:pPr>
          </w:p>
        </w:tc>
        <w:tc>
          <w:tcPr>
            <w:tcW w:w="2244" w:type="dxa"/>
          </w:tcPr>
          <w:p>
            <w:pPr>
              <w:spacing w:before="120" w:after="120"/>
              <w:jc w:val="center"/>
              <w:rPr>
                <w:rFonts w:ascii="宋体" w:hAnsi="宋体"/>
                <w:sz w:val="21"/>
                <w:szCs w:val="21"/>
              </w:rPr>
            </w:pPr>
            <w:r>
              <w:rPr>
                <w:rFonts w:hint="eastAsia" w:ascii="宋体" w:hAnsi="宋体"/>
                <w:sz w:val="21"/>
                <w:szCs w:val="21"/>
              </w:rPr>
              <w:t>室内</w:t>
            </w:r>
          </w:p>
        </w:tc>
      </w:tr>
    </w:tbl>
    <w:p>
      <w:pPr>
        <w:spacing w:line="240" w:lineRule="atLeast"/>
        <w:ind w:firstLine="480" w:firstLineChars="200"/>
        <w:rPr>
          <w:rFonts w:ascii="宋体"/>
        </w:rPr>
      </w:pPr>
    </w:p>
    <w:p>
      <w:pPr>
        <w:spacing w:line="360" w:lineRule="auto"/>
      </w:pPr>
      <w:r>
        <w:rPr>
          <w:rFonts w:hint="eastAsia"/>
        </w:rPr>
        <w:t>5.2</w:t>
      </w:r>
      <w:r>
        <w:t xml:space="preserve"> </w:t>
      </w:r>
      <w:r>
        <w:rPr>
          <w:rFonts w:hint="eastAsia"/>
        </w:rPr>
        <w:t>供货范围为</w:t>
      </w:r>
      <w:r>
        <w:rPr>
          <w:rFonts w:hint="eastAsia" w:ascii="宋体" w:hAnsi="宋体"/>
          <w:u w:val="single"/>
        </w:rPr>
        <w:t xml:space="preserve">  </w:t>
      </w:r>
      <w:r>
        <w:rPr>
          <w:rFonts w:ascii="宋体" w:hAnsi="宋体"/>
          <w:u w:val="single"/>
        </w:rPr>
        <w:t>2</w:t>
      </w:r>
      <w:r>
        <w:rPr>
          <w:rFonts w:hint="eastAsia" w:ascii="宋体" w:hAnsi="宋体"/>
          <w:u w:val="single"/>
        </w:rPr>
        <w:t xml:space="preserve"> </w:t>
      </w:r>
      <w:r>
        <w:rPr>
          <w:rFonts w:hint="eastAsia"/>
        </w:rPr>
        <w:t>台（套）完整功能的斗式提升机及其辅助系统。</w:t>
      </w:r>
    </w:p>
    <w:p>
      <w:pPr>
        <w:spacing w:line="360" w:lineRule="auto"/>
        <w:ind w:firstLine="480" w:firstLineChars="200"/>
      </w:pPr>
      <w:r>
        <w:rPr>
          <w:rFonts w:hint="eastAsia"/>
        </w:rPr>
        <w:t>其中</w:t>
      </w:r>
      <w:r>
        <w:t xml:space="preserve">, </w:t>
      </w:r>
      <w:r>
        <w:rPr>
          <w:rFonts w:hint="eastAsia"/>
        </w:rPr>
        <w:t>至少包括</w:t>
      </w:r>
      <w:r>
        <w:t>:</w:t>
      </w:r>
    </w:p>
    <w:p>
      <w:pPr>
        <w:spacing w:line="360" w:lineRule="auto"/>
        <w:ind w:left="480"/>
      </w:pPr>
      <w:r>
        <w:rPr>
          <w:rFonts w:hint="eastAsia" w:ascii="宋体" w:hAnsi="宋体"/>
        </w:rPr>
        <w:t>（1）</w:t>
      </w:r>
      <w:r>
        <w:rPr>
          <w:rFonts w:hint="eastAsia"/>
        </w:rPr>
        <w:t>斗式提升机</w:t>
      </w:r>
      <w:r>
        <w:t xml:space="preserve">     </w:t>
      </w:r>
      <w:r>
        <w:rPr>
          <w:rFonts w:hint="eastAsia" w:ascii="宋体" w:hAnsi="宋体"/>
          <w:u w:val="single"/>
        </w:rPr>
        <w:t xml:space="preserve">  </w:t>
      </w:r>
      <w:r>
        <w:rPr>
          <w:rFonts w:ascii="宋体" w:hAnsi="宋体"/>
          <w:u w:val="single"/>
        </w:rPr>
        <w:t>2</w:t>
      </w:r>
      <w:r>
        <w:rPr>
          <w:rFonts w:hint="eastAsia" w:ascii="宋体" w:hAnsi="宋体"/>
          <w:u w:val="single"/>
        </w:rPr>
        <w:t xml:space="preserve"> </w:t>
      </w:r>
      <w:r>
        <w:t xml:space="preserve"> </w:t>
      </w:r>
      <w:r>
        <w:rPr>
          <w:rFonts w:hint="eastAsia"/>
        </w:rPr>
        <w:t>台（套）</w:t>
      </w:r>
    </w:p>
    <w:p>
      <w:pPr>
        <w:spacing w:line="360" w:lineRule="auto"/>
        <w:ind w:left="540" w:leftChars="225" w:firstLine="540" w:firstLineChars="225"/>
        <w:rPr>
          <w:rFonts w:ascii="宋体" w:hAnsi="宋体"/>
        </w:rPr>
      </w:pPr>
      <w:r>
        <w:rPr>
          <w:rFonts w:hint="eastAsia"/>
        </w:rPr>
        <w:t>斗式提升机本体</w:t>
      </w:r>
    </w:p>
    <w:p>
      <w:pPr>
        <w:spacing w:line="360" w:lineRule="auto"/>
        <w:ind w:left="540" w:leftChars="225" w:firstLine="540" w:firstLineChars="225"/>
        <w:rPr>
          <w:rFonts w:ascii="宋体" w:hAnsi="宋体"/>
        </w:rPr>
      </w:pPr>
      <w:r>
        <w:rPr>
          <w:rFonts w:hint="eastAsia" w:ascii="宋体" w:hAnsi="宋体"/>
        </w:rPr>
        <w:t>主电机及其驱动系统（包括电机联轴器、减速器和</w:t>
      </w:r>
      <w:r>
        <w:rPr>
          <w:rFonts w:hint="eastAsia"/>
        </w:rPr>
        <w:t>制动器(或逆止器)）</w:t>
      </w:r>
    </w:p>
    <w:p>
      <w:pPr>
        <w:spacing w:line="360" w:lineRule="auto"/>
        <w:ind w:left="540" w:leftChars="225" w:firstLine="540" w:firstLineChars="225"/>
        <w:rPr>
          <w:rFonts w:ascii="宋体" w:hAnsi="宋体"/>
        </w:rPr>
      </w:pPr>
      <w:r>
        <w:rPr>
          <w:rFonts w:hint="eastAsia" w:ascii="宋体" w:hAnsi="宋体"/>
        </w:rPr>
        <w:t>就地控制箱</w:t>
      </w:r>
    </w:p>
    <w:p>
      <w:pPr>
        <w:spacing w:line="360" w:lineRule="auto"/>
        <w:ind w:left="540" w:leftChars="225" w:firstLine="540" w:firstLineChars="225"/>
        <w:rPr>
          <w:rFonts w:ascii="宋体" w:hAnsi="宋体"/>
        </w:rPr>
      </w:pPr>
      <w:r>
        <w:rPr>
          <w:rFonts w:hint="eastAsia" w:ascii="宋体" w:hAnsi="宋体"/>
        </w:rPr>
        <w:t>头部检修平台及爬梯、支撑、出料溜管（含溜管支撑件）等</w:t>
      </w:r>
    </w:p>
    <w:p>
      <w:pPr>
        <w:spacing w:line="360" w:lineRule="auto"/>
        <w:ind w:firstLine="480" w:firstLineChars="200"/>
        <w:rPr>
          <w:rFonts w:ascii="宋体" w:hAnsi="宋体"/>
        </w:rPr>
      </w:pPr>
      <w:r>
        <w:rPr>
          <w:rFonts w:hint="eastAsia" w:ascii="宋体" w:hAnsi="宋体"/>
        </w:rPr>
        <w:t>（2）其他：如专用工具、铭牌、KKS编码等</w:t>
      </w:r>
    </w:p>
    <w:p>
      <w:pPr>
        <w:spacing w:line="360" w:lineRule="auto"/>
        <w:ind w:left="480"/>
      </w:pPr>
      <w:r>
        <w:rPr>
          <w:rFonts w:hint="eastAsia"/>
        </w:rPr>
        <w:t>（3）备品备件</w:t>
      </w:r>
      <w:r>
        <w:t xml:space="preserve">: </w:t>
      </w:r>
    </w:p>
    <w:p>
      <w:pPr>
        <w:spacing w:line="360" w:lineRule="auto"/>
        <w:ind w:firstLine="480" w:firstLineChars="200"/>
      </w:pPr>
      <w:r>
        <w:rPr>
          <w:rFonts w:hint="eastAsia"/>
        </w:rPr>
        <w:t>供方应提供上述所有随主要设备供货的安装调试期间及</w:t>
      </w:r>
      <w:r>
        <w:rPr>
          <w:rFonts w:hint="eastAsia"/>
          <w:b/>
        </w:rPr>
        <w:t>1年用</w:t>
      </w:r>
      <w:r>
        <w:rPr>
          <w:rFonts w:hint="eastAsia" w:ascii="宋体" w:hAnsi="宋体"/>
        </w:rPr>
        <w:t>备品备件</w:t>
      </w:r>
      <w:r>
        <w:rPr>
          <w:rFonts w:hint="eastAsia"/>
        </w:rPr>
        <w:t>清单（价格含在合同总价内，数量见清单），另外提供5年运行所需备品备件清单及分项价格供需方选择。</w:t>
      </w:r>
    </w:p>
    <w:p>
      <w:pPr>
        <w:spacing w:line="360" w:lineRule="auto"/>
        <w:ind w:firstLine="480" w:firstLineChars="200"/>
      </w:pPr>
      <w:r>
        <w:rPr>
          <w:rFonts w:hint="eastAsia"/>
        </w:rPr>
        <w:t>供方所供的非国家标准件类备件应附带加工图纸, 且应保证这些图纸的完整性和正确性, 国家标准件类部件应开列标准代号及参数。所有备件均应附有带技术规范和说明的加工图。供方应保证提供设备的备品备件和易损件在整个工程接收后</w:t>
      </w:r>
      <w:r>
        <w:t>10</w:t>
      </w:r>
      <w:r>
        <w:rPr>
          <w:rFonts w:hint="eastAsia"/>
        </w:rPr>
        <w:t>年内均能易于采购。</w:t>
      </w:r>
    </w:p>
    <w:p>
      <w:pPr>
        <w:spacing w:line="360" w:lineRule="auto"/>
        <w:ind w:left="480"/>
      </w:pPr>
      <w:r>
        <w:rPr>
          <w:rFonts w:hint="eastAsia"/>
        </w:rPr>
        <w:t>（4）润滑油</w:t>
      </w:r>
    </w:p>
    <w:p>
      <w:pPr>
        <w:spacing w:line="360" w:lineRule="auto"/>
        <w:ind w:left="480" w:leftChars="200" w:firstLine="480" w:firstLineChars="200"/>
      </w:pPr>
      <w:r>
        <w:rPr>
          <w:rFonts w:hint="eastAsia"/>
        </w:rPr>
        <w:t>第一次加注的及调试和试运行期间所用的润滑油（供方应指明润滑油牌号和特性，包括成分的名称、润滑剂使用位置、类型</w:t>
      </w:r>
      <w:r>
        <w:t>、</w:t>
      </w:r>
      <w:r>
        <w:rPr>
          <w:rFonts w:hint="eastAsia"/>
        </w:rPr>
        <w:t>制造商、耗量）。在维修手册中将说明所推荐的润滑剂，也将交付润滑点清单，并保证所用的润滑油能在中国市场买到，保证润滑剂将不含</w:t>
      </w:r>
      <w:r>
        <w:t>PCB</w:t>
      </w:r>
      <w:r>
        <w:rPr>
          <w:rFonts w:hint="eastAsia"/>
        </w:rPr>
        <w:t>。</w:t>
      </w:r>
    </w:p>
    <w:p>
      <w:pPr>
        <w:spacing w:line="360" w:lineRule="auto"/>
        <w:ind w:left="480"/>
      </w:pPr>
      <w:r>
        <w:rPr>
          <w:rFonts w:hint="eastAsia"/>
        </w:rPr>
        <w:t>（5）清洁和油漆</w:t>
      </w:r>
    </w:p>
    <w:p>
      <w:pPr>
        <w:numPr>
          <w:ilvl w:val="0"/>
          <w:numId w:val="7"/>
        </w:numPr>
        <w:tabs>
          <w:tab w:val="left" w:pos="1080"/>
          <w:tab w:val="clear" w:pos="1500"/>
        </w:tabs>
        <w:spacing w:line="360" w:lineRule="auto"/>
        <w:ind w:left="1078" w:hanging="539"/>
      </w:pPr>
      <w:r>
        <w:rPr>
          <w:rFonts w:hint="eastAsia"/>
        </w:rPr>
        <w:t>所有设备</w:t>
      </w:r>
      <w:r>
        <w:rPr>
          <w:rFonts w:hint="eastAsia" w:ascii="宋体" w:hAnsi="宋体"/>
        </w:rPr>
        <w:t>表面处理</w:t>
      </w:r>
      <w:r>
        <w:rPr>
          <w:rFonts w:hint="eastAsia"/>
        </w:rPr>
        <w:t>。</w:t>
      </w:r>
    </w:p>
    <w:p>
      <w:pPr>
        <w:numPr>
          <w:ilvl w:val="0"/>
          <w:numId w:val="7"/>
        </w:numPr>
        <w:tabs>
          <w:tab w:val="left" w:pos="1080"/>
          <w:tab w:val="clear" w:pos="1500"/>
        </w:tabs>
        <w:spacing w:line="360" w:lineRule="auto"/>
        <w:ind w:left="1078" w:hanging="539"/>
      </w:pPr>
      <w:r>
        <w:rPr>
          <w:rFonts w:hint="eastAsia"/>
        </w:rPr>
        <w:t>二底二面由供方提供。现场补漆料由供方提供</w:t>
      </w:r>
      <w:r>
        <w:t xml:space="preserve">, </w:t>
      </w:r>
      <w:r>
        <w:rPr>
          <w:rFonts w:hint="eastAsia"/>
        </w:rPr>
        <w:t>由需方施工。</w:t>
      </w:r>
    </w:p>
    <w:p>
      <w:pPr>
        <w:numPr>
          <w:ilvl w:val="0"/>
          <w:numId w:val="7"/>
        </w:numPr>
        <w:tabs>
          <w:tab w:val="left" w:pos="1080"/>
          <w:tab w:val="clear" w:pos="1500"/>
        </w:tabs>
        <w:spacing w:line="360" w:lineRule="auto"/>
        <w:ind w:left="1078" w:hanging="539"/>
      </w:pPr>
      <w:r>
        <w:rPr>
          <w:rFonts w:hint="eastAsia"/>
        </w:rPr>
        <w:t>组装前应从每个零部件内部清除全部加工垃圾, 如金属切屑、填充物等, 应从内外表面清除所有渣屑、锈皮油脂等。</w:t>
      </w:r>
    </w:p>
    <w:p>
      <w:pPr>
        <w:numPr>
          <w:ilvl w:val="0"/>
          <w:numId w:val="7"/>
        </w:numPr>
        <w:tabs>
          <w:tab w:val="left" w:pos="1080"/>
          <w:tab w:val="clear" w:pos="1500"/>
        </w:tabs>
        <w:spacing w:line="360" w:lineRule="auto"/>
        <w:ind w:left="1078" w:hanging="539"/>
      </w:pPr>
      <w:r>
        <w:rPr>
          <w:spacing w:val="6"/>
        </w:rPr>
        <w:t>油漆</w:t>
      </w:r>
      <w:r>
        <w:rPr>
          <w:rFonts w:hint="eastAsia"/>
          <w:spacing w:val="6"/>
        </w:rPr>
        <w:t>要求选用含氧富锌底漆，底漆干漆膜厚度不低于60um。</w:t>
      </w:r>
    </w:p>
    <w:p>
      <w:pPr>
        <w:spacing w:line="360" w:lineRule="auto"/>
        <w:ind w:left="480"/>
      </w:pPr>
      <w:r>
        <w:rPr>
          <w:rFonts w:hint="eastAsia"/>
        </w:rPr>
        <w:t>（6）隔音或消音设施</w:t>
      </w:r>
    </w:p>
    <w:p>
      <w:pPr>
        <w:spacing w:line="360" w:lineRule="auto"/>
        <w:ind w:left="480"/>
      </w:pPr>
      <w:r>
        <w:rPr>
          <w:rFonts w:hint="eastAsia" w:ascii="宋体" w:hAnsi="宋体"/>
        </w:rPr>
        <w:t>（7）技术资料与技术服务</w:t>
      </w:r>
    </w:p>
    <w:p>
      <w:pPr>
        <w:spacing w:line="360" w:lineRule="auto"/>
        <w:rPr>
          <w:rFonts w:ascii="宋体" w:hAnsi="宋体"/>
          <w:b/>
        </w:rPr>
      </w:pPr>
      <w:r>
        <w:rPr>
          <w:rFonts w:hint="eastAsia"/>
        </w:rPr>
        <w:t>5.3供方提供的全部设备</w:t>
      </w:r>
      <w:r>
        <w:t xml:space="preserve"> (</w:t>
      </w:r>
      <w:r>
        <w:rPr>
          <w:rFonts w:hint="eastAsia"/>
        </w:rPr>
        <w:t>供方填写</w:t>
      </w:r>
      <w:r>
        <w:t>)</w:t>
      </w:r>
      <w:r>
        <w:rPr>
          <w:rFonts w:hint="eastAsia"/>
        </w:rPr>
        <w:t>：</w:t>
      </w:r>
    </w:p>
    <w:tbl>
      <w:tblPr>
        <w:tblStyle w:val="33"/>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64"/>
        <w:gridCol w:w="2420"/>
        <w:gridCol w:w="1402"/>
        <w:gridCol w:w="765"/>
        <w:gridCol w:w="765"/>
        <w:gridCol w:w="765"/>
        <w:gridCol w:w="1402"/>
        <w:gridCol w:w="89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7" w:hRule="atLeast"/>
          <w:tblHeader/>
          <w:jc w:val="center"/>
        </w:trPr>
        <w:tc>
          <w:tcPr>
            <w:tcW w:w="764" w:type="dxa"/>
            <w:vAlign w:val="center"/>
          </w:tcPr>
          <w:p>
            <w:pPr>
              <w:pStyle w:val="60"/>
              <w:spacing w:line="240" w:lineRule="atLeast"/>
              <w:rPr>
                <w:rFonts w:hAnsi="宋体"/>
                <w:sz w:val="21"/>
                <w:szCs w:val="21"/>
              </w:rPr>
            </w:pPr>
            <w:r>
              <w:rPr>
                <w:rFonts w:hint="eastAsia" w:hAnsi="宋体"/>
                <w:sz w:val="21"/>
                <w:szCs w:val="21"/>
              </w:rPr>
              <w:t>序号</w:t>
            </w:r>
          </w:p>
        </w:tc>
        <w:tc>
          <w:tcPr>
            <w:tcW w:w="2420" w:type="dxa"/>
            <w:vAlign w:val="center"/>
          </w:tcPr>
          <w:p>
            <w:pPr>
              <w:spacing w:line="240" w:lineRule="atLeast"/>
              <w:jc w:val="center"/>
              <w:rPr>
                <w:rFonts w:ascii="宋体" w:hAnsi="宋体"/>
                <w:sz w:val="21"/>
                <w:szCs w:val="21"/>
              </w:rPr>
            </w:pPr>
            <w:r>
              <w:rPr>
                <w:rFonts w:hint="eastAsia" w:ascii="宋体" w:hAnsi="宋体"/>
                <w:sz w:val="21"/>
                <w:szCs w:val="21"/>
              </w:rPr>
              <w:t>名称</w:t>
            </w:r>
          </w:p>
        </w:tc>
        <w:tc>
          <w:tcPr>
            <w:tcW w:w="1402" w:type="dxa"/>
            <w:vAlign w:val="center"/>
          </w:tcPr>
          <w:p>
            <w:pPr>
              <w:spacing w:line="240" w:lineRule="atLeast"/>
              <w:jc w:val="center"/>
              <w:rPr>
                <w:rFonts w:ascii="宋体" w:hAnsi="宋体"/>
                <w:sz w:val="21"/>
                <w:szCs w:val="21"/>
              </w:rPr>
            </w:pPr>
            <w:r>
              <w:rPr>
                <w:rFonts w:hint="eastAsia" w:ascii="宋体" w:hAnsi="宋体"/>
                <w:sz w:val="21"/>
                <w:szCs w:val="21"/>
              </w:rPr>
              <w:t>规格型号</w:t>
            </w:r>
          </w:p>
        </w:tc>
        <w:tc>
          <w:tcPr>
            <w:tcW w:w="765" w:type="dxa"/>
            <w:vAlign w:val="center"/>
          </w:tcPr>
          <w:p>
            <w:pPr>
              <w:spacing w:line="240" w:lineRule="atLeast"/>
              <w:jc w:val="center"/>
              <w:rPr>
                <w:rFonts w:ascii="宋体" w:hAnsi="宋体"/>
                <w:sz w:val="21"/>
                <w:szCs w:val="21"/>
              </w:rPr>
            </w:pPr>
            <w:r>
              <w:rPr>
                <w:rFonts w:hint="eastAsia" w:ascii="宋体" w:hAnsi="宋体"/>
                <w:sz w:val="21"/>
                <w:szCs w:val="21"/>
              </w:rPr>
              <w:t>单位</w:t>
            </w:r>
          </w:p>
        </w:tc>
        <w:tc>
          <w:tcPr>
            <w:tcW w:w="765" w:type="dxa"/>
            <w:vAlign w:val="center"/>
          </w:tcPr>
          <w:p>
            <w:pPr>
              <w:spacing w:line="240" w:lineRule="atLeast"/>
              <w:jc w:val="center"/>
              <w:rPr>
                <w:rFonts w:ascii="宋体" w:hAnsi="宋体"/>
                <w:sz w:val="21"/>
                <w:szCs w:val="21"/>
              </w:rPr>
            </w:pPr>
            <w:r>
              <w:rPr>
                <w:rFonts w:hint="eastAsia" w:ascii="宋体" w:hAnsi="宋体"/>
                <w:sz w:val="21"/>
                <w:szCs w:val="21"/>
              </w:rPr>
              <w:t>数量</w:t>
            </w:r>
          </w:p>
        </w:tc>
        <w:tc>
          <w:tcPr>
            <w:tcW w:w="765" w:type="dxa"/>
            <w:vAlign w:val="center"/>
          </w:tcPr>
          <w:p>
            <w:pPr>
              <w:spacing w:line="240" w:lineRule="atLeast"/>
              <w:jc w:val="center"/>
              <w:rPr>
                <w:rFonts w:ascii="宋体" w:hAnsi="宋体"/>
                <w:sz w:val="21"/>
                <w:szCs w:val="21"/>
              </w:rPr>
            </w:pPr>
            <w:r>
              <w:rPr>
                <w:rFonts w:hint="eastAsia" w:ascii="宋体" w:hAnsi="宋体"/>
                <w:sz w:val="21"/>
                <w:szCs w:val="21"/>
              </w:rPr>
              <w:t>产地</w:t>
            </w:r>
          </w:p>
        </w:tc>
        <w:tc>
          <w:tcPr>
            <w:tcW w:w="1402" w:type="dxa"/>
            <w:vAlign w:val="center"/>
          </w:tcPr>
          <w:p>
            <w:pPr>
              <w:spacing w:line="240" w:lineRule="atLeast"/>
              <w:jc w:val="center"/>
              <w:rPr>
                <w:rFonts w:ascii="宋体" w:hAnsi="宋体"/>
                <w:sz w:val="21"/>
                <w:szCs w:val="21"/>
              </w:rPr>
            </w:pPr>
            <w:r>
              <w:rPr>
                <w:rFonts w:hint="eastAsia" w:ascii="宋体" w:hAnsi="宋体"/>
                <w:sz w:val="21"/>
                <w:szCs w:val="21"/>
              </w:rPr>
              <w:t>生产厂家</w:t>
            </w:r>
          </w:p>
        </w:tc>
        <w:tc>
          <w:tcPr>
            <w:tcW w:w="892" w:type="dxa"/>
            <w:vAlign w:val="center"/>
          </w:tcPr>
          <w:p>
            <w:pPr>
              <w:spacing w:line="240" w:lineRule="atLeast"/>
              <w:jc w:val="center"/>
              <w:rPr>
                <w:rFonts w:ascii="宋体" w:hAnsi="宋体"/>
                <w:sz w:val="21"/>
                <w:szCs w:val="21"/>
              </w:rPr>
            </w:pPr>
            <w:r>
              <w:rPr>
                <w:rFonts w:hint="eastAsia" w:ascii="宋体" w:hAnsi="宋体"/>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64" w:type="dxa"/>
            <w:vAlign w:val="center"/>
          </w:tcPr>
          <w:p>
            <w:pPr>
              <w:spacing w:line="240" w:lineRule="atLeast"/>
              <w:jc w:val="center"/>
              <w:rPr>
                <w:rFonts w:ascii="宋体" w:hAnsi="宋体"/>
                <w:sz w:val="21"/>
                <w:szCs w:val="21"/>
              </w:rPr>
            </w:pPr>
            <w:r>
              <w:rPr>
                <w:rFonts w:hint="eastAsia" w:ascii="宋体" w:hAnsi="宋体"/>
                <w:sz w:val="21"/>
                <w:szCs w:val="21"/>
              </w:rPr>
              <w:t>1</w:t>
            </w:r>
          </w:p>
        </w:tc>
        <w:tc>
          <w:tcPr>
            <w:tcW w:w="2420" w:type="dxa"/>
            <w:vAlign w:val="center"/>
          </w:tcPr>
          <w:p>
            <w:pPr>
              <w:spacing w:line="240" w:lineRule="atLeast"/>
              <w:jc w:val="center"/>
              <w:rPr>
                <w:rFonts w:ascii="宋体" w:hAnsi="宋体"/>
                <w:sz w:val="21"/>
                <w:szCs w:val="21"/>
              </w:rPr>
            </w:pPr>
          </w:p>
        </w:tc>
        <w:tc>
          <w:tcPr>
            <w:tcW w:w="1402" w:type="dxa"/>
            <w:vAlign w:val="center"/>
          </w:tcPr>
          <w:p>
            <w:pPr>
              <w:spacing w:line="240" w:lineRule="atLeast"/>
              <w:jc w:val="center"/>
              <w:rPr>
                <w:rFonts w:ascii="宋体" w:hAnsi="宋体"/>
                <w:sz w:val="21"/>
                <w:szCs w:val="21"/>
              </w:rPr>
            </w:pPr>
          </w:p>
        </w:tc>
        <w:tc>
          <w:tcPr>
            <w:tcW w:w="765" w:type="dxa"/>
            <w:vAlign w:val="center"/>
          </w:tcPr>
          <w:p>
            <w:pPr>
              <w:spacing w:line="240" w:lineRule="atLeast"/>
              <w:jc w:val="center"/>
              <w:rPr>
                <w:rFonts w:ascii="宋体" w:hAnsi="宋体"/>
                <w:sz w:val="21"/>
                <w:szCs w:val="21"/>
              </w:rPr>
            </w:pPr>
          </w:p>
        </w:tc>
        <w:tc>
          <w:tcPr>
            <w:tcW w:w="765" w:type="dxa"/>
            <w:vAlign w:val="center"/>
          </w:tcPr>
          <w:p>
            <w:pPr>
              <w:spacing w:line="240" w:lineRule="atLeast"/>
              <w:jc w:val="center"/>
              <w:rPr>
                <w:rFonts w:ascii="宋体" w:hAnsi="宋体"/>
                <w:sz w:val="21"/>
                <w:szCs w:val="21"/>
              </w:rPr>
            </w:pPr>
          </w:p>
        </w:tc>
        <w:tc>
          <w:tcPr>
            <w:tcW w:w="765" w:type="dxa"/>
            <w:vAlign w:val="center"/>
          </w:tcPr>
          <w:p>
            <w:pPr>
              <w:spacing w:line="240" w:lineRule="atLeast"/>
              <w:jc w:val="center"/>
              <w:rPr>
                <w:rFonts w:ascii="宋体" w:hAnsi="宋体"/>
                <w:sz w:val="21"/>
                <w:szCs w:val="21"/>
              </w:rPr>
            </w:pPr>
          </w:p>
        </w:tc>
        <w:tc>
          <w:tcPr>
            <w:tcW w:w="1402" w:type="dxa"/>
            <w:vAlign w:val="center"/>
          </w:tcPr>
          <w:p>
            <w:pPr>
              <w:spacing w:line="240" w:lineRule="atLeast"/>
              <w:jc w:val="center"/>
              <w:rPr>
                <w:rFonts w:ascii="宋体" w:hAnsi="宋体"/>
                <w:sz w:val="21"/>
                <w:szCs w:val="21"/>
              </w:rPr>
            </w:pPr>
          </w:p>
        </w:tc>
        <w:tc>
          <w:tcPr>
            <w:tcW w:w="892" w:type="dxa"/>
            <w:vAlign w:val="center"/>
          </w:tcPr>
          <w:p>
            <w:pPr>
              <w:spacing w:line="240" w:lineRule="atLeast"/>
              <w:jc w:val="center"/>
              <w:rPr>
                <w:rFonts w:ascii="宋体" w:hAns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64" w:type="dxa"/>
            <w:vAlign w:val="center"/>
          </w:tcPr>
          <w:p>
            <w:pPr>
              <w:spacing w:line="240" w:lineRule="atLeast"/>
              <w:jc w:val="center"/>
              <w:rPr>
                <w:rFonts w:ascii="宋体" w:hAnsi="宋体"/>
                <w:sz w:val="21"/>
                <w:szCs w:val="21"/>
              </w:rPr>
            </w:pPr>
            <w:r>
              <w:rPr>
                <w:rFonts w:hint="eastAsia" w:ascii="宋体" w:hAnsi="宋体"/>
                <w:sz w:val="21"/>
                <w:szCs w:val="21"/>
              </w:rPr>
              <w:t>2</w:t>
            </w:r>
          </w:p>
        </w:tc>
        <w:tc>
          <w:tcPr>
            <w:tcW w:w="2420" w:type="dxa"/>
            <w:vAlign w:val="center"/>
          </w:tcPr>
          <w:p>
            <w:pPr>
              <w:spacing w:line="240" w:lineRule="atLeast"/>
              <w:jc w:val="center"/>
              <w:rPr>
                <w:rFonts w:ascii="宋体" w:hAnsi="宋体"/>
                <w:sz w:val="21"/>
                <w:szCs w:val="21"/>
              </w:rPr>
            </w:pPr>
          </w:p>
        </w:tc>
        <w:tc>
          <w:tcPr>
            <w:tcW w:w="1402" w:type="dxa"/>
            <w:vAlign w:val="center"/>
          </w:tcPr>
          <w:p>
            <w:pPr>
              <w:spacing w:line="240" w:lineRule="atLeast"/>
              <w:jc w:val="center"/>
              <w:rPr>
                <w:rFonts w:ascii="宋体" w:hAnsi="宋体"/>
                <w:sz w:val="21"/>
                <w:szCs w:val="21"/>
              </w:rPr>
            </w:pPr>
          </w:p>
        </w:tc>
        <w:tc>
          <w:tcPr>
            <w:tcW w:w="765" w:type="dxa"/>
            <w:vAlign w:val="center"/>
          </w:tcPr>
          <w:p>
            <w:pPr>
              <w:spacing w:line="240" w:lineRule="atLeast"/>
              <w:jc w:val="center"/>
              <w:rPr>
                <w:rFonts w:ascii="宋体" w:hAnsi="宋体"/>
                <w:sz w:val="21"/>
                <w:szCs w:val="21"/>
              </w:rPr>
            </w:pPr>
          </w:p>
        </w:tc>
        <w:tc>
          <w:tcPr>
            <w:tcW w:w="765" w:type="dxa"/>
            <w:vAlign w:val="center"/>
          </w:tcPr>
          <w:p>
            <w:pPr>
              <w:spacing w:line="240" w:lineRule="atLeast"/>
              <w:jc w:val="center"/>
              <w:rPr>
                <w:rFonts w:ascii="宋体" w:hAnsi="宋体"/>
                <w:sz w:val="21"/>
                <w:szCs w:val="21"/>
              </w:rPr>
            </w:pPr>
          </w:p>
        </w:tc>
        <w:tc>
          <w:tcPr>
            <w:tcW w:w="765" w:type="dxa"/>
            <w:vAlign w:val="center"/>
          </w:tcPr>
          <w:p>
            <w:pPr>
              <w:spacing w:line="240" w:lineRule="atLeast"/>
              <w:jc w:val="center"/>
              <w:rPr>
                <w:rFonts w:ascii="宋体" w:hAnsi="宋体"/>
                <w:sz w:val="21"/>
                <w:szCs w:val="21"/>
              </w:rPr>
            </w:pPr>
          </w:p>
        </w:tc>
        <w:tc>
          <w:tcPr>
            <w:tcW w:w="1402" w:type="dxa"/>
            <w:vAlign w:val="center"/>
          </w:tcPr>
          <w:p>
            <w:pPr>
              <w:spacing w:line="240" w:lineRule="atLeast"/>
              <w:jc w:val="center"/>
              <w:rPr>
                <w:rFonts w:ascii="宋体" w:hAnsi="宋体"/>
                <w:sz w:val="21"/>
                <w:szCs w:val="21"/>
              </w:rPr>
            </w:pPr>
          </w:p>
        </w:tc>
        <w:tc>
          <w:tcPr>
            <w:tcW w:w="892" w:type="dxa"/>
            <w:vAlign w:val="center"/>
          </w:tcPr>
          <w:p>
            <w:pPr>
              <w:spacing w:line="240" w:lineRule="atLeast"/>
              <w:jc w:val="center"/>
              <w:rPr>
                <w:rFonts w:ascii="宋体" w:hAns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64" w:type="dxa"/>
            <w:vAlign w:val="center"/>
          </w:tcPr>
          <w:p>
            <w:pPr>
              <w:spacing w:line="240" w:lineRule="atLeast"/>
              <w:jc w:val="center"/>
              <w:rPr>
                <w:rFonts w:ascii="宋体" w:hAnsi="宋体"/>
                <w:sz w:val="21"/>
                <w:szCs w:val="21"/>
              </w:rPr>
            </w:pPr>
            <w:r>
              <w:rPr>
                <w:rFonts w:hint="eastAsia" w:ascii="宋体" w:hAnsi="宋体"/>
                <w:sz w:val="21"/>
                <w:szCs w:val="21"/>
              </w:rPr>
              <w:t>3</w:t>
            </w:r>
          </w:p>
        </w:tc>
        <w:tc>
          <w:tcPr>
            <w:tcW w:w="2420" w:type="dxa"/>
            <w:vAlign w:val="center"/>
          </w:tcPr>
          <w:p>
            <w:pPr>
              <w:spacing w:line="240" w:lineRule="atLeast"/>
              <w:jc w:val="center"/>
              <w:rPr>
                <w:rFonts w:ascii="宋体" w:hAnsi="宋体"/>
                <w:sz w:val="21"/>
                <w:szCs w:val="21"/>
              </w:rPr>
            </w:pPr>
          </w:p>
        </w:tc>
        <w:tc>
          <w:tcPr>
            <w:tcW w:w="1402" w:type="dxa"/>
            <w:vAlign w:val="center"/>
          </w:tcPr>
          <w:p>
            <w:pPr>
              <w:spacing w:line="240" w:lineRule="atLeast"/>
              <w:jc w:val="center"/>
              <w:rPr>
                <w:rFonts w:ascii="宋体" w:hAnsi="宋体"/>
                <w:sz w:val="21"/>
                <w:szCs w:val="21"/>
              </w:rPr>
            </w:pPr>
          </w:p>
        </w:tc>
        <w:tc>
          <w:tcPr>
            <w:tcW w:w="765" w:type="dxa"/>
            <w:vAlign w:val="center"/>
          </w:tcPr>
          <w:p>
            <w:pPr>
              <w:spacing w:line="240" w:lineRule="atLeast"/>
              <w:jc w:val="center"/>
              <w:rPr>
                <w:rFonts w:ascii="宋体" w:hAnsi="宋体"/>
                <w:sz w:val="21"/>
                <w:szCs w:val="21"/>
              </w:rPr>
            </w:pPr>
          </w:p>
        </w:tc>
        <w:tc>
          <w:tcPr>
            <w:tcW w:w="765" w:type="dxa"/>
            <w:vAlign w:val="center"/>
          </w:tcPr>
          <w:p>
            <w:pPr>
              <w:spacing w:line="240" w:lineRule="atLeast"/>
              <w:jc w:val="center"/>
              <w:rPr>
                <w:rFonts w:ascii="宋体" w:hAnsi="宋体"/>
                <w:sz w:val="21"/>
                <w:szCs w:val="21"/>
              </w:rPr>
            </w:pPr>
          </w:p>
        </w:tc>
        <w:tc>
          <w:tcPr>
            <w:tcW w:w="765" w:type="dxa"/>
            <w:vAlign w:val="center"/>
          </w:tcPr>
          <w:p>
            <w:pPr>
              <w:spacing w:line="240" w:lineRule="atLeast"/>
              <w:jc w:val="center"/>
              <w:rPr>
                <w:rFonts w:ascii="宋体" w:hAnsi="宋体"/>
                <w:sz w:val="21"/>
                <w:szCs w:val="21"/>
              </w:rPr>
            </w:pPr>
          </w:p>
        </w:tc>
        <w:tc>
          <w:tcPr>
            <w:tcW w:w="1402" w:type="dxa"/>
            <w:vAlign w:val="center"/>
          </w:tcPr>
          <w:p>
            <w:pPr>
              <w:spacing w:line="240" w:lineRule="atLeast"/>
              <w:jc w:val="center"/>
              <w:rPr>
                <w:rFonts w:ascii="宋体" w:hAnsi="宋体"/>
                <w:sz w:val="21"/>
                <w:szCs w:val="21"/>
              </w:rPr>
            </w:pPr>
          </w:p>
        </w:tc>
        <w:tc>
          <w:tcPr>
            <w:tcW w:w="892" w:type="dxa"/>
            <w:vAlign w:val="center"/>
          </w:tcPr>
          <w:p>
            <w:pPr>
              <w:spacing w:line="240" w:lineRule="atLeast"/>
              <w:jc w:val="center"/>
              <w:rPr>
                <w:rFonts w:ascii="宋体" w:hAnsi="宋体"/>
                <w:sz w:val="21"/>
                <w:szCs w:val="21"/>
              </w:rPr>
            </w:pPr>
          </w:p>
        </w:tc>
      </w:tr>
    </w:tbl>
    <w:p>
      <w:pPr>
        <w:spacing w:line="240" w:lineRule="atLeast"/>
        <w:rPr>
          <w:rFonts w:ascii="宋体" w:hAnsi="宋体"/>
        </w:rPr>
      </w:pPr>
    </w:p>
    <w:p>
      <w:pPr>
        <w:spacing w:line="240" w:lineRule="atLeast"/>
        <w:ind w:firstLine="360" w:firstLineChars="150"/>
      </w:pPr>
      <w:r>
        <w:rPr>
          <w:rFonts w:hint="eastAsia"/>
        </w:rPr>
        <w:t>供方提供的安装</w:t>
      </w:r>
      <w:r>
        <w:t>,</w:t>
      </w:r>
      <w:r>
        <w:rPr>
          <w:rFonts w:hint="eastAsia"/>
        </w:rPr>
        <w:t xml:space="preserve"> 运行</w:t>
      </w:r>
      <w:r>
        <w:t>,</w:t>
      </w:r>
      <w:r>
        <w:rPr>
          <w:rFonts w:hint="eastAsia"/>
        </w:rPr>
        <w:t xml:space="preserve"> 维护</w:t>
      </w:r>
      <w:r>
        <w:t>(</w:t>
      </w:r>
      <w:r>
        <w:rPr>
          <w:rFonts w:hint="eastAsia"/>
        </w:rPr>
        <w:t>包括仪表校正</w:t>
      </w:r>
      <w:r>
        <w:t>)</w:t>
      </w:r>
      <w:r>
        <w:rPr>
          <w:rFonts w:hint="eastAsia"/>
        </w:rPr>
        <w:t xml:space="preserve"> 的专用工具清单</w:t>
      </w:r>
      <w:r>
        <w:t>(</w:t>
      </w:r>
      <w:r>
        <w:rPr>
          <w:rFonts w:hint="eastAsia"/>
        </w:rPr>
        <w:t>供方填写</w:t>
      </w:r>
      <w:r>
        <w:t>)</w:t>
      </w:r>
      <w:r>
        <w:rPr>
          <w:rFonts w:hint="eastAsia"/>
        </w:rPr>
        <w:t>：</w:t>
      </w:r>
    </w:p>
    <w:tbl>
      <w:tblPr>
        <w:tblStyle w:val="33"/>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80"/>
        <w:gridCol w:w="2277"/>
        <w:gridCol w:w="1338"/>
        <w:gridCol w:w="956"/>
        <w:gridCol w:w="765"/>
        <w:gridCol w:w="956"/>
        <w:gridCol w:w="1147"/>
        <w:gridCol w:w="95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blHeader/>
          <w:jc w:val="center"/>
        </w:trPr>
        <w:tc>
          <w:tcPr>
            <w:tcW w:w="780" w:type="dxa"/>
            <w:vAlign w:val="center"/>
          </w:tcPr>
          <w:p>
            <w:pPr>
              <w:spacing w:line="240" w:lineRule="atLeast"/>
              <w:jc w:val="center"/>
              <w:rPr>
                <w:sz w:val="21"/>
                <w:szCs w:val="21"/>
              </w:rPr>
            </w:pPr>
            <w:r>
              <w:rPr>
                <w:rFonts w:hint="eastAsia"/>
                <w:sz w:val="21"/>
                <w:szCs w:val="21"/>
              </w:rPr>
              <w:t>序号</w:t>
            </w:r>
          </w:p>
        </w:tc>
        <w:tc>
          <w:tcPr>
            <w:tcW w:w="2277" w:type="dxa"/>
            <w:vAlign w:val="center"/>
          </w:tcPr>
          <w:p>
            <w:pPr>
              <w:spacing w:line="240" w:lineRule="atLeast"/>
              <w:jc w:val="center"/>
              <w:rPr>
                <w:sz w:val="21"/>
                <w:szCs w:val="21"/>
              </w:rPr>
            </w:pPr>
            <w:r>
              <w:rPr>
                <w:rFonts w:hint="eastAsia"/>
                <w:sz w:val="21"/>
                <w:szCs w:val="21"/>
              </w:rPr>
              <w:t>名</w:t>
            </w:r>
            <w:r>
              <w:rPr>
                <w:sz w:val="21"/>
                <w:szCs w:val="21"/>
              </w:rPr>
              <w:t xml:space="preserve">       </w:t>
            </w:r>
            <w:r>
              <w:rPr>
                <w:rFonts w:hint="eastAsia"/>
                <w:sz w:val="21"/>
                <w:szCs w:val="21"/>
              </w:rPr>
              <w:t>称</w:t>
            </w:r>
          </w:p>
        </w:tc>
        <w:tc>
          <w:tcPr>
            <w:tcW w:w="1338" w:type="dxa"/>
            <w:vAlign w:val="center"/>
          </w:tcPr>
          <w:p>
            <w:pPr>
              <w:spacing w:line="240" w:lineRule="atLeast"/>
              <w:jc w:val="center"/>
              <w:rPr>
                <w:sz w:val="21"/>
                <w:szCs w:val="21"/>
              </w:rPr>
            </w:pPr>
            <w:r>
              <w:rPr>
                <w:rFonts w:hint="eastAsia"/>
                <w:sz w:val="21"/>
                <w:szCs w:val="21"/>
              </w:rPr>
              <w:t>规格和</w:t>
            </w:r>
          </w:p>
          <w:p>
            <w:pPr>
              <w:spacing w:line="240" w:lineRule="atLeast"/>
              <w:jc w:val="center"/>
              <w:rPr>
                <w:sz w:val="21"/>
                <w:szCs w:val="21"/>
              </w:rPr>
            </w:pPr>
            <w:r>
              <w:rPr>
                <w:rFonts w:hint="eastAsia"/>
                <w:sz w:val="21"/>
                <w:szCs w:val="21"/>
              </w:rPr>
              <w:t>型号</w:t>
            </w:r>
          </w:p>
        </w:tc>
        <w:tc>
          <w:tcPr>
            <w:tcW w:w="956" w:type="dxa"/>
            <w:vAlign w:val="center"/>
          </w:tcPr>
          <w:p>
            <w:pPr>
              <w:spacing w:line="240" w:lineRule="atLeast"/>
              <w:jc w:val="center"/>
              <w:rPr>
                <w:sz w:val="21"/>
                <w:szCs w:val="21"/>
              </w:rPr>
            </w:pPr>
            <w:r>
              <w:rPr>
                <w:rFonts w:hint="eastAsia"/>
                <w:sz w:val="21"/>
                <w:szCs w:val="21"/>
              </w:rPr>
              <w:t>单位</w:t>
            </w:r>
          </w:p>
        </w:tc>
        <w:tc>
          <w:tcPr>
            <w:tcW w:w="765" w:type="dxa"/>
          </w:tcPr>
          <w:p>
            <w:pPr>
              <w:spacing w:line="240" w:lineRule="atLeast"/>
              <w:jc w:val="center"/>
              <w:rPr>
                <w:sz w:val="21"/>
                <w:szCs w:val="21"/>
              </w:rPr>
            </w:pPr>
            <w:r>
              <w:rPr>
                <w:rFonts w:hint="eastAsia"/>
                <w:sz w:val="21"/>
                <w:szCs w:val="21"/>
              </w:rPr>
              <w:t>数量</w:t>
            </w:r>
          </w:p>
        </w:tc>
        <w:tc>
          <w:tcPr>
            <w:tcW w:w="956" w:type="dxa"/>
            <w:vAlign w:val="center"/>
          </w:tcPr>
          <w:p>
            <w:pPr>
              <w:spacing w:line="240" w:lineRule="atLeast"/>
              <w:jc w:val="center"/>
              <w:rPr>
                <w:sz w:val="21"/>
                <w:szCs w:val="21"/>
              </w:rPr>
            </w:pPr>
            <w:r>
              <w:rPr>
                <w:rFonts w:hint="eastAsia"/>
                <w:sz w:val="21"/>
                <w:szCs w:val="21"/>
              </w:rPr>
              <w:t>产地</w:t>
            </w:r>
          </w:p>
        </w:tc>
        <w:tc>
          <w:tcPr>
            <w:tcW w:w="1147" w:type="dxa"/>
            <w:vAlign w:val="center"/>
          </w:tcPr>
          <w:p>
            <w:pPr>
              <w:spacing w:line="240" w:lineRule="atLeast"/>
              <w:jc w:val="center"/>
              <w:rPr>
                <w:sz w:val="21"/>
                <w:szCs w:val="21"/>
              </w:rPr>
            </w:pPr>
            <w:r>
              <w:rPr>
                <w:rFonts w:hint="eastAsia"/>
                <w:sz w:val="21"/>
                <w:szCs w:val="21"/>
              </w:rPr>
              <w:t>生产</w:t>
            </w:r>
          </w:p>
          <w:p>
            <w:pPr>
              <w:spacing w:line="240" w:lineRule="atLeast"/>
              <w:jc w:val="center"/>
              <w:rPr>
                <w:sz w:val="21"/>
                <w:szCs w:val="21"/>
              </w:rPr>
            </w:pPr>
            <w:r>
              <w:rPr>
                <w:rFonts w:hint="eastAsia"/>
                <w:sz w:val="21"/>
                <w:szCs w:val="21"/>
              </w:rPr>
              <w:t>厂家</w:t>
            </w:r>
          </w:p>
        </w:tc>
        <w:tc>
          <w:tcPr>
            <w:tcW w:w="956" w:type="dxa"/>
            <w:vAlign w:val="center"/>
          </w:tcPr>
          <w:p>
            <w:pPr>
              <w:spacing w:line="240" w:lineRule="atLeast"/>
              <w:jc w:val="center"/>
              <w:rPr>
                <w:sz w:val="21"/>
                <w:szCs w:val="21"/>
              </w:rPr>
            </w:pPr>
            <w:r>
              <w:rPr>
                <w:rFonts w:hint="eastAsia"/>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80" w:type="dxa"/>
            <w:vAlign w:val="center"/>
          </w:tcPr>
          <w:p>
            <w:pPr>
              <w:spacing w:line="240" w:lineRule="atLeast"/>
              <w:jc w:val="center"/>
              <w:rPr>
                <w:sz w:val="21"/>
                <w:szCs w:val="21"/>
              </w:rPr>
            </w:pPr>
            <w:r>
              <w:rPr>
                <w:sz w:val="21"/>
                <w:szCs w:val="21"/>
              </w:rPr>
              <w:t>1</w:t>
            </w:r>
          </w:p>
        </w:tc>
        <w:tc>
          <w:tcPr>
            <w:tcW w:w="2277" w:type="dxa"/>
            <w:vAlign w:val="center"/>
          </w:tcPr>
          <w:p>
            <w:pPr>
              <w:spacing w:line="240" w:lineRule="atLeast"/>
              <w:jc w:val="center"/>
              <w:rPr>
                <w:sz w:val="21"/>
                <w:szCs w:val="21"/>
              </w:rPr>
            </w:pPr>
          </w:p>
        </w:tc>
        <w:tc>
          <w:tcPr>
            <w:tcW w:w="1338" w:type="dxa"/>
            <w:vAlign w:val="center"/>
          </w:tcPr>
          <w:p>
            <w:pPr>
              <w:spacing w:line="240" w:lineRule="atLeast"/>
              <w:jc w:val="center"/>
              <w:rPr>
                <w:sz w:val="21"/>
                <w:szCs w:val="21"/>
              </w:rPr>
            </w:pPr>
          </w:p>
        </w:tc>
        <w:tc>
          <w:tcPr>
            <w:tcW w:w="956" w:type="dxa"/>
            <w:vAlign w:val="center"/>
          </w:tcPr>
          <w:p>
            <w:pPr>
              <w:spacing w:line="240" w:lineRule="atLeast"/>
              <w:jc w:val="center"/>
              <w:rPr>
                <w:sz w:val="21"/>
                <w:szCs w:val="21"/>
              </w:rPr>
            </w:pPr>
          </w:p>
        </w:tc>
        <w:tc>
          <w:tcPr>
            <w:tcW w:w="765" w:type="dxa"/>
          </w:tcPr>
          <w:p>
            <w:pPr>
              <w:spacing w:line="240" w:lineRule="atLeast"/>
              <w:jc w:val="center"/>
              <w:rPr>
                <w:sz w:val="21"/>
                <w:szCs w:val="21"/>
              </w:rPr>
            </w:pPr>
          </w:p>
        </w:tc>
        <w:tc>
          <w:tcPr>
            <w:tcW w:w="956" w:type="dxa"/>
            <w:vAlign w:val="center"/>
          </w:tcPr>
          <w:p>
            <w:pPr>
              <w:spacing w:line="240" w:lineRule="atLeast"/>
              <w:jc w:val="center"/>
              <w:rPr>
                <w:sz w:val="21"/>
                <w:szCs w:val="21"/>
              </w:rPr>
            </w:pPr>
          </w:p>
        </w:tc>
        <w:tc>
          <w:tcPr>
            <w:tcW w:w="1147" w:type="dxa"/>
            <w:vAlign w:val="center"/>
          </w:tcPr>
          <w:p>
            <w:pPr>
              <w:spacing w:line="240" w:lineRule="atLeast"/>
              <w:jc w:val="center"/>
              <w:rPr>
                <w:sz w:val="21"/>
                <w:szCs w:val="21"/>
              </w:rPr>
            </w:pPr>
          </w:p>
        </w:tc>
        <w:tc>
          <w:tcPr>
            <w:tcW w:w="956" w:type="dxa"/>
            <w:vAlign w:val="center"/>
          </w:tcPr>
          <w:p>
            <w:pPr>
              <w:spacing w:line="240" w:lineRule="atLeast"/>
              <w:jc w:val="center"/>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80" w:type="dxa"/>
            <w:vAlign w:val="center"/>
          </w:tcPr>
          <w:p>
            <w:pPr>
              <w:spacing w:line="240" w:lineRule="atLeast"/>
              <w:jc w:val="center"/>
              <w:rPr>
                <w:sz w:val="21"/>
                <w:szCs w:val="21"/>
              </w:rPr>
            </w:pPr>
            <w:r>
              <w:rPr>
                <w:sz w:val="21"/>
                <w:szCs w:val="21"/>
              </w:rPr>
              <w:t>2</w:t>
            </w:r>
          </w:p>
        </w:tc>
        <w:tc>
          <w:tcPr>
            <w:tcW w:w="2277" w:type="dxa"/>
            <w:vAlign w:val="center"/>
          </w:tcPr>
          <w:p>
            <w:pPr>
              <w:spacing w:line="240" w:lineRule="atLeast"/>
              <w:jc w:val="center"/>
              <w:rPr>
                <w:sz w:val="21"/>
                <w:szCs w:val="21"/>
              </w:rPr>
            </w:pPr>
          </w:p>
        </w:tc>
        <w:tc>
          <w:tcPr>
            <w:tcW w:w="1338" w:type="dxa"/>
            <w:vAlign w:val="center"/>
          </w:tcPr>
          <w:p>
            <w:pPr>
              <w:spacing w:line="240" w:lineRule="atLeast"/>
              <w:jc w:val="center"/>
              <w:rPr>
                <w:sz w:val="21"/>
                <w:szCs w:val="21"/>
              </w:rPr>
            </w:pPr>
          </w:p>
        </w:tc>
        <w:tc>
          <w:tcPr>
            <w:tcW w:w="956" w:type="dxa"/>
            <w:vAlign w:val="center"/>
          </w:tcPr>
          <w:p>
            <w:pPr>
              <w:spacing w:line="240" w:lineRule="atLeast"/>
              <w:jc w:val="center"/>
              <w:rPr>
                <w:sz w:val="21"/>
                <w:szCs w:val="21"/>
              </w:rPr>
            </w:pPr>
          </w:p>
        </w:tc>
        <w:tc>
          <w:tcPr>
            <w:tcW w:w="765" w:type="dxa"/>
          </w:tcPr>
          <w:p>
            <w:pPr>
              <w:spacing w:line="240" w:lineRule="atLeast"/>
              <w:jc w:val="center"/>
              <w:rPr>
                <w:sz w:val="21"/>
                <w:szCs w:val="21"/>
              </w:rPr>
            </w:pPr>
          </w:p>
        </w:tc>
        <w:tc>
          <w:tcPr>
            <w:tcW w:w="956" w:type="dxa"/>
            <w:vAlign w:val="center"/>
          </w:tcPr>
          <w:p>
            <w:pPr>
              <w:spacing w:line="240" w:lineRule="atLeast"/>
              <w:jc w:val="center"/>
              <w:rPr>
                <w:sz w:val="21"/>
                <w:szCs w:val="21"/>
              </w:rPr>
            </w:pPr>
          </w:p>
        </w:tc>
        <w:tc>
          <w:tcPr>
            <w:tcW w:w="1147" w:type="dxa"/>
            <w:vAlign w:val="center"/>
          </w:tcPr>
          <w:p>
            <w:pPr>
              <w:spacing w:line="240" w:lineRule="atLeast"/>
              <w:jc w:val="center"/>
              <w:rPr>
                <w:sz w:val="21"/>
                <w:szCs w:val="21"/>
              </w:rPr>
            </w:pPr>
          </w:p>
        </w:tc>
        <w:tc>
          <w:tcPr>
            <w:tcW w:w="956" w:type="dxa"/>
            <w:vAlign w:val="center"/>
          </w:tcPr>
          <w:p>
            <w:pPr>
              <w:spacing w:line="240" w:lineRule="atLeast"/>
              <w:jc w:val="center"/>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80" w:type="dxa"/>
            <w:vAlign w:val="center"/>
          </w:tcPr>
          <w:p>
            <w:pPr>
              <w:spacing w:line="240" w:lineRule="atLeast"/>
              <w:jc w:val="center"/>
              <w:rPr>
                <w:sz w:val="21"/>
                <w:szCs w:val="21"/>
              </w:rPr>
            </w:pPr>
            <w:r>
              <w:rPr>
                <w:sz w:val="21"/>
                <w:szCs w:val="21"/>
              </w:rPr>
              <w:t>3</w:t>
            </w:r>
          </w:p>
        </w:tc>
        <w:tc>
          <w:tcPr>
            <w:tcW w:w="2277" w:type="dxa"/>
            <w:vAlign w:val="center"/>
          </w:tcPr>
          <w:p>
            <w:pPr>
              <w:spacing w:line="240" w:lineRule="atLeast"/>
              <w:jc w:val="center"/>
              <w:rPr>
                <w:sz w:val="21"/>
                <w:szCs w:val="21"/>
              </w:rPr>
            </w:pPr>
          </w:p>
        </w:tc>
        <w:tc>
          <w:tcPr>
            <w:tcW w:w="1338" w:type="dxa"/>
            <w:vAlign w:val="center"/>
          </w:tcPr>
          <w:p>
            <w:pPr>
              <w:spacing w:line="240" w:lineRule="atLeast"/>
              <w:jc w:val="center"/>
              <w:rPr>
                <w:sz w:val="21"/>
                <w:szCs w:val="21"/>
              </w:rPr>
            </w:pPr>
          </w:p>
        </w:tc>
        <w:tc>
          <w:tcPr>
            <w:tcW w:w="956" w:type="dxa"/>
            <w:vAlign w:val="center"/>
          </w:tcPr>
          <w:p>
            <w:pPr>
              <w:spacing w:line="240" w:lineRule="atLeast"/>
              <w:jc w:val="center"/>
              <w:rPr>
                <w:sz w:val="21"/>
                <w:szCs w:val="21"/>
              </w:rPr>
            </w:pPr>
          </w:p>
        </w:tc>
        <w:tc>
          <w:tcPr>
            <w:tcW w:w="765" w:type="dxa"/>
          </w:tcPr>
          <w:p>
            <w:pPr>
              <w:spacing w:line="240" w:lineRule="atLeast"/>
              <w:jc w:val="center"/>
              <w:rPr>
                <w:sz w:val="21"/>
                <w:szCs w:val="21"/>
              </w:rPr>
            </w:pPr>
          </w:p>
        </w:tc>
        <w:tc>
          <w:tcPr>
            <w:tcW w:w="956" w:type="dxa"/>
            <w:vAlign w:val="center"/>
          </w:tcPr>
          <w:p>
            <w:pPr>
              <w:spacing w:line="240" w:lineRule="atLeast"/>
              <w:jc w:val="center"/>
              <w:rPr>
                <w:sz w:val="21"/>
                <w:szCs w:val="21"/>
              </w:rPr>
            </w:pPr>
          </w:p>
        </w:tc>
        <w:tc>
          <w:tcPr>
            <w:tcW w:w="1147" w:type="dxa"/>
            <w:vAlign w:val="center"/>
          </w:tcPr>
          <w:p>
            <w:pPr>
              <w:spacing w:line="240" w:lineRule="atLeast"/>
              <w:jc w:val="center"/>
              <w:rPr>
                <w:sz w:val="21"/>
                <w:szCs w:val="21"/>
              </w:rPr>
            </w:pPr>
          </w:p>
        </w:tc>
        <w:tc>
          <w:tcPr>
            <w:tcW w:w="956" w:type="dxa"/>
            <w:vAlign w:val="center"/>
          </w:tcPr>
          <w:p>
            <w:pPr>
              <w:spacing w:line="240" w:lineRule="atLeast"/>
              <w:jc w:val="center"/>
              <w:rPr>
                <w:sz w:val="21"/>
                <w:szCs w:val="21"/>
              </w:rPr>
            </w:pPr>
          </w:p>
        </w:tc>
      </w:tr>
    </w:tbl>
    <w:p/>
    <w:p>
      <w:pPr>
        <w:spacing w:line="240" w:lineRule="atLeast"/>
        <w:ind w:firstLine="480" w:firstLineChars="200"/>
      </w:pPr>
      <w:r>
        <w:rPr>
          <w:rFonts w:hint="eastAsia"/>
        </w:rPr>
        <w:t>随主机供货满足安装调试期间及1年稳定运行要求</w:t>
      </w:r>
      <w:r>
        <w:rPr>
          <w:rFonts w:hint="eastAsia" w:ascii="宋体" w:hAnsi="宋体"/>
        </w:rPr>
        <w:t>所需备品备件</w:t>
      </w:r>
      <w:r>
        <w:rPr>
          <w:rFonts w:hint="eastAsia"/>
        </w:rPr>
        <w:t>清单</w:t>
      </w:r>
      <w:r>
        <w:t>(</w:t>
      </w:r>
      <w:r>
        <w:rPr>
          <w:rFonts w:hint="eastAsia"/>
        </w:rPr>
        <w:t>供方填写，包含在合同总价内</w:t>
      </w:r>
      <w:r>
        <w:t>)</w:t>
      </w:r>
      <w:r>
        <w:rPr>
          <w:rFonts w:hint="eastAsia"/>
        </w:rPr>
        <w:t>：</w:t>
      </w:r>
    </w:p>
    <w:tbl>
      <w:tblPr>
        <w:tblStyle w:val="33"/>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65"/>
        <w:gridCol w:w="2231"/>
        <w:gridCol w:w="1498"/>
        <w:gridCol w:w="562"/>
        <w:gridCol w:w="562"/>
        <w:gridCol w:w="1311"/>
        <w:gridCol w:w="1123"/>
        <w:gridCol w:w="112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65" w:type="dxa"/>
            <w:vAlign w:val="center"/>
          </w:tcPr>
          <w:p>
            <w:pPr>
              <w:spacing w:line="240" w:lineRule="atLeast"/>
              <w:jc w:val="center"/>
              <w:rPr>
                <w:sz w:val="21"/>
                <w:szCs w:val="21"/>
              </w:rPr>
            </w:pPr>
            <w:r>
              <w:rPr>
                <w:rFonts w:hint="eastAsia"/>
                <w:sz w:val="21"/>
                <w:szCs w:val="21"/>
              </w:rPr>
              <w:t>序号</w:t>
            </w:r>
          </w:p>
        </w:tc>
        <w:tc>
          <w:tcPr>
            <w:tcW w:w="2231" w:type="dxa"/>
            <w:vAlign w:val="center"/>
          </w:tcPr>
          <w:p>
            <w:pPr>
              <w:spacing w:line="240" w:lineRule="atLeast"/>
              <w:jc w:val="center"/>
              <w:rPr>
                <w:sz w:val="21"/>
                <w:szCs w:val="21"/>
              </w:rPr>
            </w:pPr>
            <w:r>
              <w:rPr>
                <w:rFonts w:hint="eastAsia"/>
                <w:sz w:val="21"/>
                <w:szCs w:val="21"/>
              </w:rPr>
              <w:t>名</w:t>
            </w:r>
            <w:r>
              <w:rPr>
                <w:sz w:val="21"/>
                <w:szCs w:val="21"/>
              </w:rPr>
              <w:t xml:space="preserve">       </w:t>
            </w:r>
            <w:r>
              <w:rPr>
                <w:rFonts w:hint="eastAsia"/>
                <w:sz w:val="21"/>
                <w:szCs w:val="21"/>
              </w:rPr>
              <w:t>称</w:t>
            </w:r>
          </w:p>
        </w:tc>
        <w:tc>
          <w:tcPr>
            <w:tcW w:w="1498" w:type="dxa"/>
            <w:vAlign w:val="center"/>
          </w:tcPr>
          <w:p>
            <w:pPr>
              <w:spacing w:line="240" w:lineRule="atLeast"/>
              <w:jc w:val="center"/>
              <w:rPr>
                <w:sz w:val="21"/>
                <w:szCs w:val="21"/>
              </w:rPr>
            </w:pPr>
            <w:r>
              <w:rPr>
                <w:rFonts w:hint="eastAsia"/>
                <w:sz w:val="21"/>
                <w:szCs w:val="21"/>
              </w:rPr>
              <w:t>规格和型号</w:t>
            </w:r>
          </w:p>
        </w:tc>
        <w:tc>
          <w:tcPr>
            <w:tcW w:w="562" w:type="dxa"/>
            <w:vAlign w:val="center"/>
          </w:tcPr>
          <w:p>
            <w:pPr>
              <w:spacing w:line="240" w:lineRule="atLeast"/>
              <w:jc w:val="center"/>
              <w:rPr>
                <w:sz w:val="21"/>
                <w:szCs w:val="21"/>
              </w:rPr>
            </w:pPr>
            <w:r>
              <w:rPr>
                <w:rFonts w:hint="eastAsia"/>
                <w:sz w:val="21"/>
                <w:szCs w:val="21"/>
              </w:rPr>
              <w:t>单位</w:t>
            </w:r>
          </w:p>
        </w:tc>
        <w:tc>
          <w:tcPr>
            <w:tcW w:w="562" w:type="dxa"/>
          </w:tcPr>
          <w:p>
            <w:pPr>
              <w:spacing w:line="240" w:lineRule="atLeast"/>
              <w:jc w:val="center"/>
              <w:rPr>
                <w:sz w:val="21"/>
                <w:szCs w:val="21"/>
              </w:rPr>
            </w:pPr>
            <w:r>
              <w:rPr>
                <w:rFonts w:hint="eastAsia"/>
                <w:sz w:val="21"/>
                <w:szCs w:val="21"/>
              </w:rPr>
              <w:t>数量</w:t>
            </w:r>
          </w:p>
        </w:tc>
        <w:tc>
          <w:tcPr>
            <w:tcW w:w="1311" w:type="dxa"/>
            <w:vAlign w:val="center"/>
          </w:tcPr>
          <w:p>
            <w:pPr>
              <w:spacing w:line="240" w:lineRule="atLeast"/>
              <w:jc w:val="center"/>
              <w:rPr>
                <w:sz w:val="21"/>
                <w:szCs w:val="21"/>
              </w:rPr>
            </w:pPr>
            <w:r>
              <w:rPr>
                <w:rFonts w:hint="eastAsia"/>
                <w:sz w:val="21"/>
                <w:szCs w:val="21"/>
              </w:rPr>
              <w:t>运行寿命</w:t>
            </w:r>
          </w:p>
          <w:p>
            <w:pPr>
              <w:spacing w:line="240" w:lineRule="atLeast"/>
              <w:jc w:val="center"/>
              <w:rPr>
                <w:sz w:val="21"/>
                <w:szCs w:val="21"/>
              </w:rPr>
            </w:pPr>
            <w:r>
              <w:rPr>
                <w:sz w:val="21"/>
                <w:szCs w:val="21"/>
              </w:rPr>
              <w:t>(</w:t>
            </w:r>
            <w:r>
              <w:rPr>
                <w:rFonts w:hint="eastAsia"/>
                <w:sz w:val="21"/>
                <w:szCs w:val="21"/>
              </w:rPr>
              <w:t>小时</w:t>
            </w:r>
            <w:r>
              <w:rPr>
                <w:sz w:val="21"/>
                <w:szCs w:val="21"/>
              </w:rPr>
              <w:t>)</w:t>
            </w:r>
          </w:p>
        </w:tc>
        <w:tc>
          <w:tcPr>
            <w:tcW w:w="1123" w:type="dxa"/>
            <w:vAlign w:val="center"/>
          </w:tcPr>
          <w:p>
            <w:pPr>
              <w:spacing w:line="240" w:lineRule="atLeast"/>
              <w:jc w:val="center"/>
              <w:rPr>
                <w:sz w:val="21"/>
                <w:szCs w:val="21"/>
              </w:rPr>
            </w:pPr>
            <w:r>
              <w:rPr>
                <w:rFonts w:hint="eastAsia"/>
                <w:sz w:val="21"/>
                <w:szCs w:val="21"/>
              </w:rPr>
              <w:t>生产</w:t>
            </w:r>
          </w:p>
          <w:p>
            <w:pPr>
              <w:spacing w:line="240" w:lineRule="atLeast"/>
              <w:jc w:val="center"/>
              <w:rPr>
                <w:sz w:val="21"/>
                <w:szCs w:val="21"/>
              </w:rPr>
            </w:pPr>
            <w:r>
              <w:rPr>
                <w:rFonts w:hint="eastAsia"/>
                <w:sz w:val="21"/>
                <w:szCs w:val="21"/>
              </w:rPr>
              <w:t>厂家</w:t>
            </w:r>
          </w:p>
        </w:tc>
        <w:tc>
          <w:tcPr>
            <w:tcW w:w="1123" w:type="dxa"/>
            <w:vAlign w:val="center"/>
          </w:tcPr>
          <w:p>
            <w:pPr>
              <w:spacing w:line="240" w:lineRule="atLeast"/>
              <w:jc w:val="center"/>
              <w:rPr>
                <w:sz w:val="21"/>
                <w:szCs w:val="21"/>
              </w:rPr>
            </w:pPr>
            <w:r>
              <w:rPr>
                <w:rFonts w:hint="eastAsia"/>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65" w:type="dxa"/>
            <w:vAlign w:val="center"/>
          </w:tcPr>
          <w:p>
            <w:pPr>
              <w:spacing w:line="240" w:lineRule="atLeast"/>
              <w:jc w:val="center"/>
              <w:rPr>
                <w:sz w:val="21"/>
                <w:szCs w:val="21"/>
              </w:rPr>
            </w:pPr>
            <w:r>
              <w:rPr>
                <w:sz w:val="21"/>
                <w:szCs w:val="21"/>
              </w:rPr>
              <w:t>1</w:t>
            </w:r>
          </w:p>
        </w:tc>
        <w:tc>
          <w:tcPr>
            <w:tcW w:w="2231" w:type="dxa"/>
            <w:vAlign w:val="center"/>
          </w:tcPr>
          <w:p>
            <w:pPr>
              <w:spacing w:line="240" w:lineRule="atLeast"/>
              <w:jc w:val="center"/>
              <w:rPr>
                <w:sz w:val="21"/>
                <w:szCs w:val="21"/>
              </w:rPr>
            </w:pPr>
            <w:r>
              <w:rPr>
                <w:rFonts w:hint="eastAsia"/>
                <w:sz w:val="21"/>
                <w:szCs w:val="21"/>
              </w:rPr>
              <w:t>链条</w:t>
            </w:r>
          </w:p>
        </w:tc>
        <w:tc>
          <w:tcPr>
            <w:tcW w:w="1498" w:type="dxa"/>
            <w:vAlign w:val="center"/>
          </w:tcPr>
          <w:p>
            <w:pPr>
              <w:spacing w:line="240" w:lineRule="atLeast"/>
              <w:jc w:val="center"/>
              <w:rPr>
                <w:sz w:val="21"/>
                <w:szCs w:val="21"/>
              </w:rPr>
            </w:pPr>
          </w:p>
        </w:tc>
        <w:tc>
          <w:tcPr>
            <w:tcW w:w="562" w:type="dxa"/>
            <w:vAlign w:val="center"/>
          </w:tcPr>
          <w:p>
            <w:pPr>
              <w:spacing w:line="240" w:lineRule="atLeast"/>
              <w:jc w:val="center"/>
              <w:rPr>
                <w:sz w:val="21"/>
                <w:szCs w:val="21"/>
              </w:rPr>
            </w:pPr>
            <w:r>
              <w:rPr>
                <w:rFonts w:hint="eastAsia"/>
                <w:sz w:val="21"/>
                <w:szCs w:val="21"/>
              </w:rPr>
              <w:t>节</w:t>
            </w:r>
          </w:p>
        </w:tc>
        <w:tc>
          <w:tcPr>
            <w:tcW w:w="562" w:type="dxa"/>
          </w:tcPr>
          <w:p>
            <w:pPr>
              <w:spacing w:line="240" w:lineRule="atLeast"/>
              <w:jc w:val="center"/>
              <w:rPr>
                <w:sz w:val="21"/>
                <w:szCs w:val="21"/>
              </w:rPr>
            </w:pPr>
            <w:r>
              <w:rPr>
                <w:rFonts w:hint="eastAsia"/>
                <w:sz w:val="21"/>
                <w:szCs w:val="21"/>
              </w:rPr>
              <w:t>2</w:t>
            </w:r>
          </w:p>
        </w:tc>
        <w:tc>
          <w:tcPr>
            <w:tcW w:w="1311" w:type="dxa"/>
            <w:vAlign w:val="center"/>
          </w:tcPr>
          <w:p>
            <w:pPr>
              <w:spacing w:line="240" w:lineRule="atLeast"/>
              <w:jc w:val="center"/>
              <w:rPr>
                <w:sz w:val="21"/>
                <w:szCs w:val="21"/>
              </w:rPr>
            </w:pPr>
          </w:p>
        </w:tc>
        <w:tc>
          <w:tcPr>
            <w:tcW w:w="1123" w:type="dxa"/>
            <w:vAlign w:val="center"/>
          </w:tcPr>
          <w:p>
            <w:pPr>
              <w:spacing w:line="240" w:lineRule="atLeast"/>
              <w:jc w:val="center"/>
              <w:rPr>
                <w:sz w:val="21"/>
                <w:szCs w:val="21"/>
              </w:rPr>
            </w:pPr>
          </w:p>
        </w:tc>
        <w:tc>
          <w:tcPr>
            <w:tcW w:w="1123" w:type="dxa"/>
            <w:vAlign w:val="center"/>
          </w:tcPr>
          <w:p>
            <w:pPr>
              <w:spacing w:line="240" w:lineRule="atLeast"/>
              <w:jc w:val="center"/>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65" w:type="dxa"/>
            <w:vAlign w:val="center"/>
          </w:tcPr>
          <w:p>
            <w:pPr>
              <w:spacing w:line="240" w:lineRule="atLeast"/>
              <w:jc w:val="center"/>
              <w:rPr>
                <w:sz w:val="21"/>
                <w:szCs w:val="21"/>
              </w:rPr>
            </w:pPr>
            <w:r>
              <w:rPr>
                <w:sz w:val="21"/>
                <w:szCs w:val="21"/>
              </w:rPr>
              <w:t>2</w:t>
            </w:r>
          </w:p>
        </w:tc>
        <w:tc>
          <w:tcPr>
            <w:tcW w:w="2231" w:type="dxa"/>
            <w:vAlign w:val="center"/>
          </w:tcPr>
          <w:p>
            <w:pPr>
              <w:spacing w:line="240" w:lineRule="atLeast"/>
              <w:jc w:val="center"/>
              <w:rPr>
                <w:sz w:val="21"/>
                <w:szCs w:val="21"/>
              </w:rPr>
            </w:pPr>
          </w:p>
        </w:tc>
        <w:tc>
          <w:tcPr>
            <w:tcW w:w="1498" w:type="dxa"/>
            <w:vAlign w:val="center"/>
          </w:tcPr>
          <w:p>
            <w:pPr>
              <w:spacing w:line="240" w:lineRule="atLeast"/>
              <w:jc w:val="center"/>
              <w:rPr>
                <w:sz w:val="21"/>
                <w:szCs w:val="21"/>
              </w:rPr>
            </w:pPr>
          </w:p>
        </w:tc>
        <w:tc>
          <w:tcPr>
            <w:tcW w:w="562" w:type="dxa"/>
            <w:vAlign w:val="center"/>
          </w:tcPr>
          <w:p>
            <w:pPr>
              <w:spacing w:line="240" w:lineRule="atLeast"/>
              <w:jc w:val="center"/>
              <w:rPr>
                <w:sz w:val="21"/>
                <w:szCs w:val="21"/>
              </w:rPr>
            </w:pPr>
          </w:p>
        </w:tc>
        <w:tc>
          <w:tcPr>
            <w:tcW w:w="562" w:type="dxa"/>
          </w:tcPr>
          <w:p>
            <w:pPr>
              <w:spacing w:line="240" w:lineRule="atLeast"/>
              <w:jc w:val="center"/>
              <w:rPr>
                <w:sz w:val="21"/>
                <w:szCs w:val="21"/>
              </w:rPr>
            </w:pPr>
          </w:p>
        </w:tc>
        <w:tc>
          <w:tcPr>
            <w:tcW w:w="1311" w:type="dxa"/>
            <w:vAlign w:val="center"/>
          </w:tcPr>
          <w:p>
            <w:pPr>
              <w:spacing w:line="240" w:lineRule="atLeast"/>
              <w:jc w:val="center"/>
              <w:rPr>
                <w:sz w:val="21"/>
                <w:szCs w:val="21"/>
              </w:rPr>
            </w:pPr>
          </w:p>
        </w:tc>
        <w:tc>
          <w:tcPr>
            <w:tcW w:w="1123" w:type="dxa"/>
            <w:vAlign w:val="center"/>
          </w:tcPr>
          <w:p>
            <w:pPr>
              <w:spacing w:line="240" w:lineRule="atLeast"/>
              <w:jc w:val="center"/>
              <w:rPr>
                <w:sz w:val="21"/>
                <w:szCs w:val="21"/>
              </w:rPr>
            </w:pPr>
          </w:p>
        </w:tc>
        <w:tc>
          <w:tcPr>
            <w:tcW w:w="1123" w:type="dxa"/>
            <w:vAlign w:val="center"/>
          </w:tcPr>
          <w:p>
            <w:pPr>
              <w:spacing w:line="240" w:lineRule="atLeast"/>
              <w:jc w:val="center"/>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65" w:type="dxa"/>
            <w:vAlign w:val="center"/>
          </w:tcPr>
          <w:p>
            <w:pPr>
              <w:jc w:val="center"/>
              <w:rPr>
                <w:sz w:val="21"/>
                <w:szCs w:val="21"/>
              </w:rPr>
            </w:pPr>
            <w:r>
              <w:rPr>
                <w:rFonts w:hint="eastAsia"/>
                <w:sz w:val="21"/>
                <w:szCs w:val="21"/>
              </w:rPr>
              <w:t>3</w:t>
            </w:r>
          </w:p>
        </w:tc>
        <w:tc>
          <w:tcPr>
            <w:tcW w:w="2231" w:type="dxa"/>
            <w:vAlign w:val="center"/>
          </w:tcPr>
          <w:p>
            <w:pPr>
              <w:spacing w:line="240" w:lineRule="atLeast"/>
              <w:jc w:val="center"/>
              <w:rPr>
                <w:sz w:val="21"/>
                <w:szCs w:val="21"/>
              </w:rPr>
            </w:pPr>
          </w:p>
        </w:tc>
        <w:tc>
          <w:tcPr>
            <w:tcW w:w="1498" w:type="dxa"/>
            <w:vAlign w:val="center"/>
          </w:tcPr>
          <w:p>
            <w:pPr>
              <w:spacing w:line="240" w:lineRule="atLeast"/>
              <w:jc w:val="center"/>
              <w:rPr>
                <w:sz w:val="21"/>
                <w:szCs w:val="21"/>
              </w:rPr>
            </w:pPr>
          </w:p>
        </w:tc>
        <w:tc>
          <w:tcPr>
            <w:tcW w:w="562" w:type="dxa"/>
            <w:vAlign w:val="center"/>
          </w:tcPr>
          <w:p>
            <w:pPr>
              <w:spacing w:line="240" w:lineRule="atLeast"/>
              <w:jc w:val="center"/>
              <w:rPr>
                <w:sz w:val="21"/>
                <w:szCs w:val="21"/>
              </w:rPr>
            </w:pPr>
          </w:p>
        </w:tc>
        <w:tc>
          <w:tcPr>
            <w:tcW w:w="562" w:type="dxa"/>
          </w:tcPr>
          <w:p>
            <w:pPr>
              <w:spacing w:line="240" w:lineRule="atLeast"/>
              <w:jc w:val="center"/>
              <w:rPr>
                <w:sz w:val="21"/>
                <w:szCs w:val="21"/>
              </w:rPr>
            </w:pPr>
          </w:p>
        </w:tc>
        <w:tc>
          <w:tcPr>
            <w:tcW w:w="1311" w:type="dxa"/>
            <w:vAlign w:val="center"/>
          </w:tcPr>
          <w:p>
            <w:pPr>
              <w:spacing w:line="240" w:lineRule="atLeast"/>
              <w:jc w:val="center"/>
              <w:rPr>
                <w:sz w:val="21"/>
                <w:szCs w:val="21"/>
              </w:rPr>
            </w:pPr>
          </w:p>
        </w:tc>
        <w:tc>
          <w:tcPr>
            <w:tcW w:w="1123" w:type="dxa"/>
            <w:vAlign w:val="center"/>
          </w:tcPr>
          <w:p>
            <w:pPr>
              <w:spacing w:line="240" w:lineRule="atLeast"/>
              <w:jc w:val="center"/>
              <w:rPr>
                <w:sz w:val="21"/>
                <w:szCs w:val="21"/>
              </w:rPr>
            </w:pPr>
          </w:p>
        </w:tc>
        <w:tc>
          <w:tcPr>
            <w:tcW w:w="1123" w:type="dxa"/>
            <w:vAlign w:val="center"/>
          </w:tcPr>
          <w:p>
            <w:pPr>
              <w:spacing w:line="240" w:lineRule="atLeast"/>
              <w:jc w:val="center"/>
              <w:rPr>
                <w:sz w:val="21"/>
                <w:szCs w:val="21"/>
              </w:rPr>
            </w:pPr>
          </w:p>
        </w:tc>
      </w:tr>
    </w:tbl>
    <w:p>
      <w:pPr>
        <w:spacing w:line="240" w:lineRule="atLeast"/>
      </w:pPr>
    </w:p>
    <w:p>
      <w:pPr>
        <w:spacing w:line="240" w:lineRule="atLeast"/>
        <w:ind w:firstLine="240" w:firstLineChars="100"/>
      </w:pPr>
      <w:r>
        <w:rPr>
          <w:rFonts w:hint="eastAsia"/>
        </w:rPr>
        <w:t>供方应提供的5年运行</w:t>
      </w:r>
      <w:r>
        <w:t>(</w:t>
      </w:r>
      <w:r>
        <w:rPr>
          <w:rFonts w:hint="eastAsia"/>
        </w:rPr>
        <w:t>一个大修周期</w:t>
      </w:r>
      <w:r>
        <w:t>)</w:t>
      </w:r>
      <w:r>
        <w:rPr>
          <w:rFonts w:hint="eastAsia"/>
        </w:rPr>
        <w:t xml:space="preserve"> 的备品备件</w:t>
      </w:r>
      <w:r>
        <w:t>,</w:t>
      </w:r>
      <w:r>
        <w:rPr>
          <w:rFonts w:hint="eastAsia"/>
        </w:rPr>
        <w:t xml:space="preserve"> 易磨损件清单</w:t>
      </w:r>
      <w:r>
        <w:t>(</w:t>
      </w:r>
      <w:r>
        <w:rPr>
          <w:rFonts w:hint="eastAsia"/>
        </w:rPr>
        <w:t>供方填写，不包含在合同总价内</w:t>
      </w:r>
      <w:r>
        <w:t>)</w:t>
      </w:r>
      <w:r>
        <w:rPr>
          <w:rFonts w:hint="eastAsia"/>
        </w:rPr>
        <w:t>：</w:t>
      </w:r>
    </w:p>
    <w:tbl>
      <w:tblPr>
        <w:tblStyle w:val="33"/>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65"/>
        <w:gridCol w:w="2231"/>
        <w:gridCol w:w="1498"/>
        <w:gridCol w:w="562"/>
        <w:gridCol w:w="562"/>
        <w:gridCol w:w="1311"/>
        <w:gridCol w:w="1123"/>
        <w:gridCol w:w="112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65" w:type="dxa"/>
            <w:vAlign w:val="center"/>
          </w:tcPr>
          <w:p>
            <w:pPr>
              <w:spacing w:line="240" w:lineRule="atLeast"/>
              <w:jc w:val="center"/>
              <w:rPr>
                <w:sz w:val="21"/>
                <w:szCs w:val="21"/>
              </w:rPr>
            </w:pPr>
            <w:r>
              <w:rPr>
                <w:rFonts w:hint="eastAsia"/>
                <w:sz w:val="21"/>
                <w:szCs w:val="21"/>
              </w:rPr>
              <w:t>序号</w:t>
            </w:r>
          </w:p>
        </w:tc>
        <w:tc>
          <w:tcPr>
            <w:tcW w:w="2231" w:type="dxa"/>
            <w:vAlign w:val="center"/>
          </w:tcPr>
          <w:p>
            <w:pPr>
              <w:spacing w:line="240" w:lineRule="atLeast"/>
              <w:jc w:val="center"/>
              <w:rPr>
                <w:sz w:val="21"/>
                <w:szCs w:val="21"/>
              </w:rPr>
            </w:pPr>
            <w:r>
              <w:rPr>
                <w:rFonts w:hint="eastAsia"/>
                <w:sz w:val="21"/>
                <w:szCs w:val="21"/>
              </w:rPr>
              <w:t>名</w:t>
            </w:r>
            <w:r>
              <w:rPr>
                <w:sz w:val="21"/>
                <w:szCs w:val="21"/>
              </w:rPr>
              <w:t xml:space="preserve">       </w:t>
            </w:r>
            <w:r>
              <w:rPr>
                <w:rFonts w:hint="eastAsia"/>
                <w:sz w:val="21"/>
                <w:szCs w:val="21"/>
              </w:rPr>
              <w:t>称</w:t>
            </w:r>
          </w:p>
        </w:tc>
        <w:tc>
          <w:tcPr>
            <w:tcW w:w="1498" w:type="dxa"/>
            <w:vAlign w:val="center"/>
          </w:tcPr>
          <w:p>
            <w:pPr>
              <w:spacing w:line="240" w:lineRule="atLeast"/>
              <w:jc w:val="center"/>
              <w:rPr>
                <w:sz w:val="21"/>
                <w:szCs w:val="21"/>
              </w:rPr>
            </w:pPr>
            <w:r>
              <w:rPr>
                <w:rFonts w:hint="eastAsia"/>
                <w:sz w:val="21"/>
                <w:szCs w:val="21"/>
              </w:rPr>
              <w:t>规格和型号</w:t>
            </w:r>
          </w:p>
        </w:tc>
        <w:tc>
          <w:tcPr>
            <w:tcW w:w="562" w:type="dxa"/>
            <w:vAlign w:val="center"/>
          </w:tcPr>
          <w:p>
            <w:pPr>
              <w:spacing w:line="240" w:lineRule="atLeast"/>
              <w:jc w:val="center"/>
              <w:rPr>
                <w:sz w:val="21"/>
                <w:szCs w:val="21"/>
              </w:rPr>
            </w:pPr>
            <w:r>
              <w:rPr>
                <w:rFonts w:hint="eastAsia"/>
                <w:sz w:val="21"/>
                <w:szCs w:val="21"/>
              </w:rPr>
              <w:t>单位</w:t>
            </w:r>
          </w:p>
        </w:tc>
        <w:tc>
          <w:tcPr>
            <w:tcW w:w="562" w:type="dxa"/>
          </w:tcPr>
          <w:p>
            <w:pPr>
              <w:spacing w:line="240" w:lineRule="atLeast"/>
              <w:jc w:val="center"/>
              <w:rPr>
                <w:sz w:val="21"/>
                <w:szCs w:val="21"/>
              </w:rPr>
            </w:pPr>
            <w:r>
              <w:rPr>
                <w:rFonts w:hint="eastAsia"/>
                <w:sz w:val="21"/>
                <w:szCs w:val="21"/>
              </w:rPr>
              <w:t>数量</w:t>
            </w:r>
          </w:p>
        </w:tc>
        <w:tc>
          <w:tcPr>
            <w:tcW w:w="1311" w:type="dxa"/>
            <w:vAlign w:val="center"/>
          </w:tcPr>
          <w:p>
            <w:pPr>
              <w:spacing w:line="240" w:lineRule="atLeast"/>
              <w:jc w:val="center"/>
              <w:rPr>
                <w:sz w:val="21"/>
                <w:szCs w:val="21"/>
              </w:rPr>
            </w:pPr>
            <w:r>
              <w:rPr>
                <w:rFonts w:hint="eastAsia"/>
                <w:sz w:val="21"/>
                <w:szCs w:val="21"/>
              </w:rPr>
              <w:t>运行寿命</w:t>
            </w:r>
          </w:p>
          <w:p>
            <w:pPr>
              <w:spacing w:line="240" w:lineRule="atLeast"/>
              <w:jc w:val="center"/>
              <w:rPr>
                <w:sz w:val="21"/>
                <w:szCs w:val="21"/>
              </w:rPr>
            </w:pPr>
            <w:r>
              <w:rPr>
                <w:sz w:val="21"/>
                <w:szCs w:val="21"/>
              </w:rPr>
              <w:t>(</w:t>
            </w:r>
            <w:r>
              <w:rPr>
                <w:rFonts w:hint="eastAsia"/>
                <w:sz w:val="21"/>
                <w:szCs w:val="21"/>
              </w:rPr>
              <w:t>小时</w:t>
            </w:r>
            <w:r>
              <w:rPr>
                <w:sz w:val="21"/>
                <w:szCs w:val="21"/>
              </w:rPr>
              <w:t>)</w:t>
            </w:r>
          </w:p>
        </w:tc>
        <w:tc>
          <w:tcPr>
            <w:tcW w:w="1123" w:type="dxa"/>
            <w:vAlign w:val="center"/>
          </w:tcPr>
          <w:p>
            <w:pPr>
              <w:spacing w:line="240" w:lineRule="atLeast"/>
              <w:jc w:val="center"/>
              <w:rPr>
                <w:sz w:val="21"/>
                <w:szCs w:val="21"/>
              </w:rPr>
            </w:pPr>
            <w:r>
              <w:rPr>
                <w:rFonts w:hint="eastAsia"/>
                <w:sz w:val="21"/>
                <w:szCs w:val="21"/>
              </w:rPr>
              <w:t>生产</w:t>
            </w:r>
          </w:p>
          <w:p>
            <w:pPr>
              <w:spacing w:line="240" w:lineRule="atLeast"/>
              <w:jc w:val="center"/>
              <w:rPr>
                <w:sz w:val="21"/>
                <w:szCs w:val="21"/>
              </w:rPr>
            </w:pPr>
            <w:r>
              <w:rPr>
                <w:rFonts w:hint="eastAsia"/>
                <w:sz w:val="21"/>
                <w:szCs w:val="21"/>
              </w:rPr>
              <w:t>厂家</w:t>
            </w:r>
          </w:p>
        </w:tc>
        <w:tc>
          <w:tcPr>
            <w:tcW w:w="1123" w:type="dxa"/>
            <w:vAlign w:val="center"/>
          </w:tcPr>
          <w:p>
            <w:pPr>
              <w:spacing w:line="240" w:lineRule="atLeast"/>
              <w:jc w:val="center"/>
              <w:rPr>
                <w:sz w:val="21"/>
                <w:szCs w:val="21"/>
              </w:rPr>
            </w:pPr>
            <w:r>
              <w:rPr>
                <w:rFonts w:hint="eastAsia"/>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65" w:type="dxa"/>
            <w:vAlign w:val="center"/>
          </w:tcPr>
          <w:p>
            <w:pPr>
              <w:spacing w:line="240" w:lineRule="atLeast"/>
              <w:jc w:val="center"/>
              <w:rPr>
                <w:sz w:val="21"/>
                <w:szCs w:val="21"/>
              </w:rPr>
            </w:pPr>
            <w:r>
              <w:rPr>
                <w:sz w:val="21"/>
                <w:szCs w:val="21"/>
              </w:rPr>
              <w:t>1</w:t>
            </w:r>
          </w:p>
        </w:tc>
        <w:tc>
          <w:tcPr>
            <w:tcW w:w="2231" w:type="dxa"/>
            <w:vAlign w:val="center"/>
          </w:tcPr>
          <w:p>
            <w:pPr>
              <w:spacing w:line="240" w:lineRule="atLeast"/>
              <w:jc w:val="center"/>
              <w:rPr>
                <w:sz w:val="21"/>
                <w:szCs w:val="21"/>
              </w:rPr>
            </w:pPr>
          </w:p>
        </w:tc>
        <w:tc>
          <w:tcPr>
            <w:tcW w:w="1498" w:type="dxa"/>
            <w:vAlign w:val="center"/>
          </w:tcPr>
          <w:p>
            <w:pPr>
              <w:spacing w:line="240" w:lineRule="atLeast"/>
              <w:jc w:val="center"/>
              <w:rPr>
                <w:sz w:val="21"/>
                <w:szCs w:val="21"/>
              </w:rPr>
            </w:pPr>
          </w:p>
        </w:tc>
        <w:tc>
          <w:tcPr>
            <w:tcW w:w="562" w:type="dxa"/>
            <w:vAlign w:val="center"/>
          </w:tcPr>
          <w:p>
            <w:pPr>
              <w:spacing w:line="240" w:lineRule="atLeast"/>
              <w:jc w:val="center"/>
              <w:rPr>
                <w:sz w:val="21"/>
                <w:szCs w:val="21"/>
              </w:rPr>
            </w:pPr>
          </w:p>
        </w:tc>
        <w:tc>
          <w:tcPr>
            <w:tcW w:w="562" w:type="dxa"/>
          </w:tcPr>
          <w:p>
            <w:pPr>
              <w:spacing w:line="240" w:lineRule="atLeast"/>
              <w:jc w:val="center"/>
              <w:rPr>
                <w:sz w:val="21"/>
                <w:szCs w:val="21"/>
              </w:rPr>
            </w:pPr>
          </w:p>
        </w:tc>
        <w:tc>
          <w:tcPr>
            <w:tcW w:w="1311" w:type="dxa"/>
            <w:vAlign w:val="center"/>
          </w:tcPr>
          <w:p>
            <w:pPr>
              <w:spacing w:line="240" w:lineRule="atLeast"/>
              <w:jc w:val="center"/>
              <w:rPr>
                <w:sz w:val="21"/>
                <w:szCs w:val="21"/>
              </w:rPr>
            </w:pPr>
          </w:p>
        </w:tc>
        <w:tc>
          <w:tcPr>
            <w:tcW w:w="1123" w:type="dxa"/>
            <w:vAlign w:val="center"/>
          </w:tcPr>
          <w:p>
            <w:pPr>
              <w:spacing w:line="240" w:lineRule="atLeast"/>
              <w:jc w:val="center"/>
              <w:rPr>
                <w:sz w:val="21"/>
                <w:szCs w:val="21"/>
              </w:rPr>
            </w:pPr>
          </w:p>
        </w:tc>
        <w:tc>
          <w:tcPr>
            <w:tcW w:w="1123" w:type="dxa"/>
            <w:vAlign w:val="center"/>
          </w:tcPr>
          <w:p>
            <w:pPr>
              <w:spacing w:line="240" w:lineRule="atLeast"/>
              <w:jc w:val="center"/>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65" w:type="dxa"/>
            <w:vAlign w:val="center"/>
          </w:tcPr>
          <w:p>
            <w:pPr>
              <w:spacing w:line="240" w:lineRule="atLeast"/>
              <w:jc w:val="center"/>
              <w:rPr>
                <w:sz w:val="21"/>
                <w:szCs w:val="21"/>
              </w:rPr>
            </w:pPr>
            <w:r>
              <w:rPr>
                <w:sz w:val="21"/>
                <w:szCs w:val="21"/>
              </w:rPr>
              <w:t>2</w:t>
            </w:r>
          </w:p>
        </w:tc>
        <w:tc>
          <w:tcPr>
            <w:tcW w:w="2231" w:type="dxa"/>
            <w:vAlign w:val="center"/>
          </w:tcPr>
          <w:p>
            <w:pPr>
              <w:spacing w:line="240" w:lineRule="atLeast"/>
              <w:jc w:val="center"/>
              <w:rPr>
                <w:sz w:val="21"/>
                <w:szCs w:val="21"/>
              </w:rPr>
            </w:pPr>
          </w:p>
        </w:tc>
        <w:tc>
          <w:tcPr>
            <w:tcW w:w="1498" w:type="dxa"/>
            <w:vAlign w:val="center"/>
          </w:tcPr>
          <w:p>
            <w:pPr>
              <w:spacing w:line="240" w:lineRule="atLeast"/>
              <w:jc w:val="center"/>
              <w:rPr>
                <w:sz w:val="21"/>
                <w:szCs w:val="21"/>
              </w:rPr>
            </w:pPr>
          </w:p>
        </w:tc>
        <w:tc>
          <w:tcPr>
            <w:tcW w:w="562" w:type="dxa"/>
            <w:vAlign w:val="center"/>
          </w:tcPr>
          <w:p>
            <w:pPr>
              <w:spacing w:line="240" w:lineRule="atLeast"/>
              <w:jc w:val="center"/>
              <w:rPr>
                <w:sz w:val="21"/>
                <w:szCs w:val="21"/>
              </w:rPr>
            </w:pPr>
          </w:p>
        </w:tc>
        <w:tc>
          <w:tcPr>
            <w:tcW w:w="562" w:type="dxa"/>
          </w:tcPr>
          <w:p>
            <w:pPr>
              <w:spacing w:line="240" w:lineRule="atLeast"/>
              <w:jc w:val="center"/>
              <w:rPr>
                <w:sz w:val="21"/>
                <w:szCs w:val="21"/>
              </w:rPr>
            </w:pPr>
          </w:p>
        </w:tc>
        <w:tc>
          <w:tcPr>
            <w:tcW w:w="1311" w:type="dxa"/>
            <w:vAlign w:val="center"/>
          </w:tcPr>
          <w:p>
            <w:pPr>
              <w:spacing w:line="240" w:lineRule="atLeast"/>
              <w:jc w:val="center"/>
              <w:rPr>
                <w:sz w:val="21"/>
                <w:szCs w:val="21"/>
              </w:rPr>
            </w:pPr>
          </w:p>
        </w:tc>
        <w:tc>
          <w:tcPr>
            <w:tcW w:w="1123" w:type="dxa"/>
            <w:vAlign w:val="center"/>
          </w:tcPr>
          <w:p>
            <w:pPr>
              <w:spacing w:line="240" w:lineRule="atLeast"/>
              <w:jc w:val="center"/>
              <w:rPr>
                <w:sz w:val="21"/>
                <w:szCs w:val="21"/>
              </w:rPr>
            </w:pPr>
          </w:p>
        </w:tc>
        <w:tc>
          <w:tcPr>
            <w:tcW w:w="1123" w:type="dxa"/>
            <w:vAlign w:val="center"/>
          </w:tcPr>
          <w:p>
            <w:pPr>
              <w:spacing w:line="240" w:lineRule="atLeast"/>
              <w:jc w:val="center"/>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65" w:type="dxa"/>
            <w:vAlign w:val="center"/>
          </w:tcPr>
          <w:p>
            <w:pPr>
              <w:jc w:val="center"/>
              <w:rPr>
                <w:sz w:val="21"/>
                <w:szCs w:val="21"/>
              </w:rPr>
            </w:pPr>
            <w:r>
              <w:rPr>
                <w:rFonts w:hint="eastAsia"/>
                <w:sz w:val="21"/>
                <w:szCs w:val="21"/>
              </w:rPr>
              <w:t>3</w:t>
            </w:r>
          </w:p>
        </w:tc>
        <w:tc>
          <w:tcPr>
            <w:tcW w:w="2231" w:type="dxa"/>
            <w:vAlign w:val="center"/>
          </w:tcPr>
          <w:p>
            <w:pPr>
              <w:spacing w:line="240" w:lineRule="atLeast"/>
              <w:jc w:val="center"/>
              <w:rPr>
                <w:sz w:val="21"/>
                <w:szCs w:val="21"/>
              </w:rPr>
            </w:pPr>
          </w:p>
        </w:tc>
        <w:tc>
          <w:tcPr>
            <w:tcW w:w="1498" w:type="dxa"/>
            <w:vAlign w:val="center"/>
          </w:tcPr>
          <w:p>
            <w:pPr>
              <w:spacing w:line="240" w:lineRule="atLeast"/>
              <w:jc w:val="center"/>
              <w:rPr>
                <w:sz w:val="21"/>
                <w:szCs w:val="21"/>
              </w:rPr>
            </w:pPr>
          </w:p>
        </w:tc>
        <w:tc>
          <w:tcPr>
            <w:tcW w:w="562" w:type="dxa"/>
            <w:vAlign w:val="center"/>
          </w:tcPr>
          <w:p>
            <w:pPr>
              <w:spacing w:line="240" w:lineRule="atLeast"/>
              <w:jc w:val="center"/>
              <w:rPr>
                <w:sz w:val="21"/>
                <w:szCs w:val="21"/>
              </w:rPr>
            </w:pPr>
          </w:p>
        </w:tc>
        <w:tc>
          <w:tcPr>
            <w:tcW w:w="562" w:type="dxa"/>
          </w:tcPr>
          <w:p>
            <w:pPr>
              <w:spacing w:line="240" w:lineRule="atLeast"/>
              <w:jc w:val="center"/>
              <w:rPr>
                <w:sz w:val="21"/>
                <w:szCs w:val="21"/>
              </w:rPr>
            </w:pPr>
          </w:p>
        </w:tc>
        <w:tc>
          <w:tcPr>
            <w:tcW w:w="1311" w:type="dxa"/>
            <w:vAlign w:val="center"/>
          </w:tcPr>
          <w:p>
            <w:pPr>
              <w:spacing w:line="240" w:lineRule="atLeast"/>
              <w:jc w:val="center"/>
              <w:rPr>
                <w:sz w:val="21"/>
                <w:szCs w:val="21"/>
              </w:rPr>
            </w:pPr>
          </w:p>
        </w:tc>
        <w:tc>
          <w:tcPr>
            <w:tcW w:w="1123" w:type="dxa"/>
            <w:vAlign w:val="center"/>
          </w:tcPr>
          <w:p>
            <w:pPr>
              <w:spacing w:line="240" w:lineRule="atLeast"/>
              <w:jc w:val="center"/>
              <w:rPr>
                <w:sz w:val="21"/>
                <w:szCs w:val="21"/>
              </w:rPr>
            </w:pPr>
          </w:p>
        </w:tc>
        <w:tc>
          <w:tcPr>
            <w:tcW w:w="1123" w:type="dxa"/>
            <w:vAlign w:val="center"/>
          </w:tcPr>
          <w:p>
            <w:pPr>
              <w:spacing w:line="240" w:lineRule="atLeast"/>
              <w:jc w:val="center"/>
              <w:rPr>
                <w:sz w:val="21"/>
                <w:szCs w:val="21"/>
              </w:rPr>
            </w:pPr>
          </w:p>
        </w:tc>
      </w:tr>
    </w:tbl>
    <w:p>
      <w:pPr>
        <w:spacing w:line="240" w:lineRule="atLeast"/>
      </w:pPr>
    </w:p>
    <w:p>
      <w:pPr>
        <w:spacing w:line="240" w:lineRule="atLeast"/>
      </w:pPr>
    </w:p>
    <w:p>
      <w:pPr>
        <w:spacing w:line="240" w:lineRule="atLeast"/>
        <w:ind w:firstLine="360" w:firstLineChars="150"/>
      </w:pPr>
      <w:r>
        <w:rPr>
          <w:rFonts w:hint="eastAsia"/>
        </w:rPr>
        <w:t>进口件清单</w:t>
      </w:r>
      <w:r>
        <w:t>(</w:t>
      </w:r>
      <w:r>
        <w:rPr>
          <w:rFonts w:hint="eastAsia"/>
        </w:rPr>
        <w:t>供方填写</w:t>
      </w:r>
      <w:r>
        <w:t>)</w:t>
      </w:r>
      <w:r>
        <w:rPr>
          <w:rFonts w:hint="eastAsia"/>
        </w:rPr>
        <w:t>：</w:t>
      </w:r>
    </w:p>
    <w:tbl>
      <w:tblPr>
        <w:tblStyle w:val="33"/>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49"/>
        <w:gridCol w:w="2434"/>
        <w:gridCol w:w="1311"/>
        <w:gridCol w:w="749"/>
        <w:gridCol w:w="749"/>
        <w:gridCol w:w="749"/>
        <w:gridCol w:w="1311"/>
        <w:gridCol w:w="112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49" w:type="dxa"/>
          </w:tcPr>
          <w:p>
            <w:pPr>
              <w:pStyle w:val="60"/>
              <w:adjustRightInd/>
              <w:spacing w:line="240" w:lineRule="atLeast"/>
              <w:textAlignment w:val="auto"/>
              <w:rPr>
                <w:rFonts w:hAnsi="宋体"/>
                <w:kern w:val="2"/>
                <w:sz w:val="21"/>
                <w:szCs w:val="21"/>
              </w:rPr>
            </w:pPr>
            <w:r>
              <w:rPr>
                <w:rFonts w:hint="eastAsia" w:hAnsi="宋体"/>
                <w:kern w:val="2"/>
                <w:sz w:val="21"/>
                <w:szCs w:val="21"/>
              </w:rPr>
              <w:t>序号</w:t>
            </w:r>
          </w:p>
        </w:tc>
        <w:tc>
          <w:tcPr>
            <w:tcW w:w="2434" w:type="dxa"/>
          </w:tcPr>
          <w:p>
            <w:pPr>
              <w:spacing w:line="240" w:lineRule="atLeast"/>
              <w:jc w:val="center"/>
              <w:rPr>
                <w:rFonts w:ascii="宋体" w:hAnsi="宋体"/>
                <w:sz w:val="21"/>
                <w:szCs w:val="21"/>
              </w:rPr>
            </w:pPr>
            <w:r>
              <w:rPr>
                <w:rFonts w:hint="eastAsia" w:ascii="宋体" w:hAnsi="宋体"/>
                <w:sz w:val="21"/>
                <w:szCs w:val="21"/>
              </w:rPr>
              <w:t>名称</w:t>
            </w:r>
          </w:p>
        </w:tc>
        <w:tc>
          <w:tcPr>
            <w:tcW w:w="1311" w:type="dxa"/>
          </w:tcPr>
          <w:p>
            <w:pPr>
              <w:spacing w:line="240" w:lineRule="atLeast"/>
              <w:jc w:val="center"/>
              <w:rPr>
                <w:rFonts w:ascii="宋体" w:hAnsi="宋体"/>
                <w:sz w:val="21"/>
                <w:szCs w:val="21"/>
              </w:rPr>
            </w:pPr>
            <w:r>
              <w:rPr>
                <w:rFonts w:hint="eastAsia" w:ascii="宋体" w:hAnsi="宋体"/>
                <w:sz w:val="21"/>
                <w:szCs w:val="21"/>
              </w:rPr>
              <w:t>规格型号</w:t>
            </w:r>
          </w:p>
        </w:tc>
        <w:tc>
          <w:tcPr>
            <w:tcW w:w="749" w:type="dxa"/>
          </w:tcPr>
          <w:p>
            <w:pPr>
              <w:spacing w:line="240" w:lineRule="atLeast"/>
              <w:jc w:val="center"/>
              <w:rPr>
                <w:rFonts w:ascii="宋体" w:hAnsi="宋体"/>
                <w:sz w:val="21"/>
                <w:szCs w:val="21"/>
              </w:rPr>
            </w:pPr>
            <w:r>
              <w:rPr>
                <w:rFonts w:hint="eastAsia" w:ascii="宋体" w:hAnsi="宋体"/>
                <w:sz w:val="21"/>
                <w:szCs w:val="21"/>
              </w:rPr>
              <w:t>单位</w:t>
            </w:r>
          </w:p>
        </w:tc>
        <w:tc>
          <w:tcPr>
            <w:tcW w:w="749" w:type="dxa"/>
          </w:tcPr>
          <w:p>
            <w:pPr>
              <w:spacing w:line="240" w:lineRule="atLeast"/>
              <w:jc w:val="center"/>
              <w:rPr>
                <w:rFonts w:ascii="宋体" w:hAnsi="宋体"/>
                <w:sz w:val="21"/>
                <w:szCs w:val="21"/>
              </w:rPr>
            </w:pPr>
            <w:r>
              <w:rPr>
                <w:rFonts w:hint="eastAsia" w:ascii="宋体" w:hAnsi="宋体"/>
                <w:sz w:val="21"/>
                <w:szCs w:val="21"/>
              </w:rPr>
              <w:t>数量</w:t>
            </w:r>
          </w:p>
        </w:tc>
        <w:tc>
          <w:tcPr>
            <w:tcW w:w="749" w:type="dxa"/>
          </w:tcPr>
          <w:p>
            <w:pPr>
              <w:spacing w:line="240" w:lineRule="atLeast"/>
              <w:jc w:val="center"/>
              <w:rPr>
                <w:rFonts w:ascii="宋体" w:hAnsi="宋体"/>
                <w:sz w:val="21"/>
                <w:szCs w:val="21"/>
              </w:rPr>
            </w:pPr>
            <w:r>
              <w:rPr>
                <w:rFonts w:hint="eastAsia" w:ascii="宋体" w:hAnsi="宋体"/>
                <w:sz w:val="21"/>
                <w:szCs w:val="21"/>
              </w:rPr>
              <w:t>产地</w:t>
            </w:r>
          </w:p>
        </w:tc>
        <w:tc>
          <w:tcPr>
            <w:tcW w:w="1311" w:type="dxa"/>
          </w:tcPr>
          <w:p>
            <w:pPr>
              <w:spacing w:line="240" w:lineRule="atLeast"/>
              <w:jc w:val="center"/>
              <w:rPr>
                <w:rFonts w:ascii="宋体" w:hAnsi="宋体"/>
                <w:sz w:val="21"/>
                <w:szCs w:val="21"/>
              </w:rPr>
            </w:pPr>
            <w:r>
              <w:rPr>
                <w:rFonts w:hint="eastAsia" w:ascii="宋体" w:hAnsi="宋体"/>
                <w:sz w:val="21"/>
                <w:szCs w:val="21"/>
              </w:rPr>
              <w:t>生产厂家</w:t>
            </w:r>
          </w:p>
        </w:tc>
        <w:tc>
          <w:tcPr>
            <w:tcW w:w="1123" w:type="dxa"/>
          </w:tcPr>
          <w:p>
            <w:pPr>
              <w:spacing w:line="240" w:lineRule="atLeast"/>
              <w:jc w:val="center"/>
              <w:rPr>
                <w:rFonts w:ascii="宋体" w:hAnsi="宋体"/>
                <w:sz w:val="21"/>
                <w:szCs w:val="21"/>
              </w:rPr>
            </w:pPr>
            <w:r>
              <w:rPr>
                <w:rFonts w:hint="eastAsia" w:ascii="宋体" w:hAnsi="宋体"/>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49" w:type="dxa"/>
          </w:tcPr>
          <w:p>
            <w:pPr>
              <w:spacing w:line="240" w:lineRule="atLeast"/>
              <w:jc w:val="center"/>
              <w:rPr>
                <w:rFonts w:ascii="宋体" w:hAnsi="宋体"/>
                <w:sz w:val="21"/>
                <w:szCs w:val="21"/>
              </w:rPr>
            </w:pPr>
            <w:r>
              <w:rPr>
                <w:rFonts w:ascii="宋体" w:hAnsi="宋体"/>
                <w:sz w:val="21"/>
                <w:szCs w:val="21"/>
              </w:rPr>
              <w:t>1</w:t>
            </w:r>
          </w:p>
        </w:tc>
        <w:tc>
          <w:tcPr>
            <w:tcW w:w="2434" w:type="dxa"/>
          </w:tcPr>
          <w:p>
            <w:pPr>
              <w:spacing w:line="240" w:lineRule="atLeast"/>
              <w:jc w:val="center"/>
              <w:rPr>
                <w:rFonts w:ascii="宋体" w:hAnsi="宋体"/>
                <w:sz w:val="21"/>
                <w:szCs w:val="21"/>
              </w:rPr>
            </w:pPr>
          </w:p>
        </w:tc>
        <w:tc>
          <w:tcPr>
            <w:tcW w:w="1311" w:type="dxa"/>
          </w:tcPr>
          <w:p>
            <w:pPr>
              <w:spacing w:line="240" w:lineRule="atLeast"/>
              <w:rPr>
                <w:rFonts w:ascii="宋体" w:hAnsi="宋体"/>
                <w:sz w:val="21"/>
                <w:szCs w:val="21"/>
              </w:rPr>
            </w:pPr>
          </w:p>
        </w:tc>
        <w:tc>
          <w:tcPr>
            <w:tcW w:w="749" w:type="dxa"/>
          </w:tcPr>
          <w:p>
            <w:pPr>
              <w:spacing w:line="240" w:lineRule="atLeast"/>
              <w:rPr>
                <w:rFonts w:ascii="宋体" w:hAnsi="宋体"/>
                <w:sz w:val="21"/>
                <w:szCs w:val="21"/>
              </w:rPr>
            </w:pPr>
          </w:p>
        </w:tc>
        <w:tc>
          <w:tcPr>
            <w:tcW w:w="749" w:type="dxa"/>
          </w:tcPr>
          <w:p>
            <w:pPr>
              <w:spacing w:line="240" w:lineRule="atLeast"/>
              <w:rPr>
                <w:rFonts w:ascii="宋体" w:hAnsi="宋体"/>
                <w:sz w:val="21"/>
                <w:szCs w:val="21"/>
              </w:rPr>
            </w:pPr>
          </w:p>
        </w:tc>
        <w:tc>
          <w:tcPr>
            <w:tcW w:w="749" w:type="dxa"/>
          </w:tcPr>
          <w:p>
            <w:pPr>
              <w:spacing w:line="240" w:lineRule="atLeast"/>
              <w:rPr>
                <w:rFonts w:ascii="宋体" w:hAnsi="宋体"/>
                <w:sz w:val="21"/>
                <w:szCs w:val="21"/>
              </w:rPr>
            </w:pPr>
          </w:p>
        </w:tc>
        <w:tc>
          <w:tcPr>
            <w:tcW w:w="1311" w:type="dxa"/>
          </w:tcPr>
          <w:p>
            <w:pPr>
              <w:spacing w:line="240" w:lineRule="atLeast"/>
              <w:rPr>
                <w:rFonts w:ascii="宋体" w:hAnsi="宋体"/>
                <w:sz w:val="21"/>
                <w:szCs w:val="21"/>
              </w:rPr>
            </w:pPr>
          </w:p>
        </w:tc>
        <w:tc>
          <w:tcPr>
            <w:tcW w:w="1123" w:type="dxa"/>
          </w:tcPr>
          <w:p>
            <w:pPr>
              <w:spacing w:line="240" w:lineRule="atLeast"/>
              <w:rPr>
                <w:rFonts w:ascii="宋体" w:hAns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49" w:type="dxa"/>
          </w:tcPr>
          <w:p>
            <w:pPr>
              <w:spacing w:line="240" w:lineRule="atLeast"/>
              <w:jc w:val="center"/>
              <w:rPr>
                <w:rFonts w:ascii="宋体" w:hAnsi="宋体"/>
                <w:sz w:val="21"/>
                <w:szCs w:val="21"/>
              </w:rPr>
            </w:pPr>
            <w:r>
              <w:rPr>
                <w:rFonts w:ascii="宋体" w:hAnsi="宋体"/>
                <w:sz w:val="21"/>
                <w:szCs w:val="21"/>
              </w:rPr>
              <w:t>2</w:t>
            </w:r>
          </w:p>
        </w:tc>
        <w:tc>
          <w:tcPr>
            <w:tcW w:w="2434" w:type="dxa"/>
          </w:tcPr>
          <w:p>
            <w:pPr>
              <w:pStyle w:val="60"/>
              <w:adjustRightInd/>
              <w:spacing w:line="240" w:lineRule="atLeast"/>
              <w:textAlignment w:val="auto"/>
              <w:rPr>
                <w:rFonts w:hAnsi="宋体"/>
                <w:kern w:val="2"/>
                <w:sz w:val="21"/>
                <w:szCs w:val="21"/>
              </w:rPr>
            </w:pPr>
          </w:p>
        </w:tc>
        <w:tc>
          <w:tcPr>
            <w:tcW w:w="1311" w:type="dxa"/>
          </w:tcPr>
          <w:p>
            <w:pPr>
              <w:spacing w:line="240" w:lineRule="atLeast"/>
              <w:jc w:val="center"/>
              <w:rPr>
                <w:rFonts w:ascii="宋体" w:hAnsi="宋体"/>
                <w:sz w:val="21"/>
                <w:szCs w:val="21"/>
              </w:rPr>
            </w:pPr>
          </w:p>
        </w:tc>
        <w:tc>
          <w:tcPr>
            <w:tcW w:w="749" w:type="dxa"/>
          </w:tcPr>
          <w:p>
            <w:pPr>
              <w:spacing w:line="240" w:lineRule="atLeast"/>
              <w:jc w:val="center"/>
              <w:rPr>
                <w:rFonts w:ascii="宋体" w:hAnsi="宋体"/>
                <w:sz w:val="21"/>
                <w:szCs w:val="21"/>
              </w:rPr>
            </w:pPr>
          </w:p>
        </w:tc>
        <w:tc>
          <w:tcPr>
            <w:tcW w:w="749" w:type="dxa"/>
          </w:tcPr>
          <w:p>
            <w:pPr>
              <w:spacing w:line="240" w:lineRule="atLeast"/>
              <w:jc w:val="center"/>
              <w:rPr>
                <w:rFonts w:ascii="宋体" w:hAnsi="宋体"/>
                <w:sz w:val="21"/>
                <w:szCs w:val="21"/>
              </w:rPr>
            </w:pPr>
          </w:p>
        </w:tc>
        <w:tc>
          <w:tcPr>
            <w:tcW w:w="749" w:type="dxa"/>
          </w:tcPr>
          <w:p>
            <w:pPr>
              <w:spacing w:line="240" w:lineRule="atLeast"/>
              <w:jc w:val="center"/>
              <w:rPr>
                <w:rFonts w:ascii="宋体" w:hAnsi="宋体"/>
                <w:sz w:val="21"/>
                <w:szCs w:val="21"/>
              </w:rPr>
            </w:pPr>
          </w:p>
        </w:tc>
        <w:tc>
          <w:tcPr>
            <w:tcW w:w="1311" w:type="dxa"/>
          </w:tcPr>
          <w:p>
            <w:pPr>
              <w:spacing w:line="240" w:lineRule="atLeast"/>
              <w:jc w:val="center"/>
              <w:rPr>
                <w:rFonts w:ascii="宋体" w:hAnsi="宋体"/>
                <w:sz w:val="21"/>
                <w:szCs w:val="21"/>
              </w:rPr>
            </w:pPr>
          </w:p>
        </w:tc>
        <w:tc>
          <w:tcPr>
            <w:tcW w:w="1123" w:type="dxa"/>
          </w:tcPr>
          <w:p>
            <w:pPr>
              <w:spacing w:line="240" w:lineRule="atLeast"/>
              <w:jc w:val="center"/>
              <w:rPr>
                <w:rFonts w:ascii="宋体" w:hAns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49" w:type="dxa"/>
          </w:tcPr>
          <w:p>
            <w:pPr>
              <w:spacing w:line="240" w:lineRule="atLeast"/>
              <w:jc w:val="center"/>
              <w:rPr>
                <w:rFonts w:ascii="宋体" w:hAnsi="宋体"/>
                <w:sz w:val="21"/>
                <w:szCs w:val="21"/>
              </w:rPr>
            </w:pPr>
            <w:r>
              <w:rPr>
                <w:rFonts w:ascii="宋体" w:hAnsi="宋体"/>
                <w:sz w:val="21"/>
                <w:szCs w:val="21"/>
              </w:rPr>
              <w:t>3</w:t>
            </w:r>
          </w:p>
        </w:tc>
        <w:tc>
          <w:tcPr>
            <w:tcW w:w="2434" w:type="dxa"/>
          </w:tcPr>
          <w:p>
            <w:pPr>
              <w:spacing w:line="240" w:lineRule="atLeast"/>
              <w:jc w:val="center"/>
              <w:rPr>
                <w:rFonts w:ascii="宋体" w:hAnsi="宋体"/>
                <w:sz w:val="21"/>
                <w:szCs w:val="21"/>
              </w:rPr>
            </w:pPr>
          </w:p>
        </w:tc>
        <w:tc>
          <w:tcPr>
            <w:tcW w:w="1311" w:type="dxa"/>
          </w:tcPr>
          <w:p>
            <w:pPr>
              <w:spacing w:line="240" w:lineRule="atLeast"/>
              <w:jc w:val="center"/>
              <w:rPr>
                <w:rFonts w:ascii="宋体" w:hAnsi="宋体"/>
                <w:sz w:val="21"/>
                <w:szCs w:val="21"/>
              </w:rPr>
            </w:pPr>
          </w:p>
        </w:tc>
        <w:tc>
          <w:tcPr>
            <w:tcW w:w="749" w:type="dxa"/>
          </w:tcPr>
          <w:p>
            <w:pPr>
              <w:spacing w:line="240" w:lineRule="atLeast"/>
              <w:jc w:val="center"/>
              <w:rPr>
                <w:rFonts w:ascii="宋体" w:hAnsi="宋体"/>
                <w:sz w:val="21"/>
                <w:szCs w:val="21"/>
              </w:rPr>
            </w:pPr>
          </w:p>
        </w:tc>
        <w:tc>
          <w:tcPr>
            <w:tcW w:w="749" w:type="dxa"/>
          </w:tcPr>
          <w:p>
            <w:pPr>
              <w:spacing w:line="240" w:lineRule="atLeast"/>
              <w:jc w:val="center"/>
              <w:rPr>
                <w:rFonts w:ascii="宋体" w:hAnsi="宋体"/>
                <w:sz w:val="21"/>
                <w:szCs w:val="21"/>
              </w:rPr>
            </w:pPr>
          </w:p>
        </w:tc>
        <w:tc>
          <w:tcPr>
            <w:tcW w:w="749" w:type="dxa"/>
          </w:tcPr>
          <w:p>
            <w:pPr>
              <w:spacing w:line="240" w:lineRule="atLeast"/>
              <w:jc w:val="center"/>
              <w:rPr>
                <w:rFonts w:ascii="宋体" w:hAnsi="宋体"/>
                <w:sz w:val="21"/>
                <w:szCs w:val="21"/>
              </w:rPr>
            </w:pPr>
          </w:p>
        </w:tc>
        <w:tc>
          <w:tcPr>
            <w:tcW w:w="1311" w:type="dxa"/>
          </w:tcPr>
          <w:p>
            <w:pPr>
              <w:spacing w:line="240" w:lineRule="atLeast"/>
              <w:jc w:val="center"/>
              <w:rPr>
                <w:rFonts w:ascii="宋体" w:hAnsi="宋体"/>
                <w:sz w:val="21"/>
                <w:szCs w:val="21"/>
              </w:rPr>
            </w:pPr>
          </w:p>
        </w:tc>
        <w:tc>
          <w:tcPr>
            <w:tcW w:w="1123" w:type="dxa"/>
          </w:tcPr>
          <w:p>
            <w:pPr>
              <w:spacing w:line="240" w:lineRule="atLeast"/>
              <w:jc w:val="center"/>
              <w:rPr>
                <w:rFonts w:ascii="宋体" w:hAnsi="宋体"/>
                <w:sz w:val="21"/>
                <w:szCs w:val="21"/>
              </w:rPr>
            </w:pPr>
          </w:p>
        </w:tc>
      </w:tr>
    </w:tbl>
    <w:p/>
    <w:p>
      <w:bookmarkStart w:id="31" w:name="_Toc85871232"/>
    </w:p>
    <w:p>
      <w:pPr>
        <w:pStyle w:val="3"/>
        <w:spacing w:line="360" w:lineRule="auto"/>
        <w:rPr>
          <w:sz w:val="24"/>
          <w:szCs w:val="24"/>
        </w:rPr>
      </w:pPr>
      <w:bookmarkStart w:id="32" w:name="_Toc255982371"/>
      <w:r>
        <w:rPr>
          <w:rFonts w:hint="eastAsia"/>
          <w:sz w:val="24"/>
          <w:szCs w:val="24"/>
        </w:rPr>
        <w:t>6技术服务</w:t>
      </w:r>
      <w:bookmarkEnd w:id="31"/>
      <w:bookmarkEnd w:id="32"/>
    </w:p>
    <w:p>
      <w:pPr>
        <w:numPr>
          <w:ilvl w:val="1"/>
          <w:numId w:val="8"/>
        </w:numPr>
        <w:spacing w:line="360" w:lineRule="auto"/>
        <w:rPr>
          <w:b/>
        </w:rPr>
      </w:pPr>
      <w:r>
        <w:rPr>
          <w:rFonts w:hint="eastAsia"/>
          <w:b/>
        </w:rPr>
        <w:t xml:space="preserve"> 技术文件和图纸</w:t>
      </w:r>
    </w:p>
    <w:p>
      <w:pPr>
        <w:spacing w:line="360" w:lineRule="auto"/>
      </w:pPr>
      <w:r>
        <w:rPr>
          <w:rFonts w:hint="eastAsia"/>
        </w:rPr>
        <w:t>6.1.1供方应向需方提供完整、详尽的关于验收、储存、安装、调试、运行及维修等方面的技术资料，如果需方认为供方所提供资料不能满足要求时，有权要求供方补充。供方提供的技术资料中应包括各设备和部件的检验、试验、安装、运行和维护等方面的技术数据、说明书、有关图纸以及有关的规程、规范、标准及其它技术资料。</w:t>
      </w:r>
    </w:p>
    <w:p>
      <w:pPr>
        <w:spacing w:line="360" w:lineRule="auto"/>
      </w:pPr>
      <w:r>
        <w:rPr>
          <w:rFonts w:hint="eastAsia"/>
        </w:rPr>
        <w:t>6.1.2供方提供技术文件的范围也应满足本技术规范书其它部分的要求。</w:t>
      </w:r>
    </w:p>
    <w:p>
      <w:pPr>
        <w:spacing w:line="360" w:lineRule="auto"/>
      </w:pPr>
      <w:r>
        <w:rPr>
          <w:rFonts w:hint="eastAsia"/>
        </w:rPr>
        <w:t>6.1.3供方应提供下列技术文件和图纸，但不限于此：</w:t>
      </w:r>
    </w:p>
    <w:p>
      <w:pPr>
        <w:spacing w:line="360" w:lineRule="auto"/>
        <w:ind w:left="480" w:leftChars="200" w:firstLine="480" w:firstLineChars="200"/>
      </w:pPr>
      <w:r>
        <w:rPr>
          <w:rFonts w:hint="eastAsia"/>
        </w:rPr>
        <w:t>设备总图；</w:t>
      </w:r>
    </w:p>
    <w:p>
      <w:pPr>
        <w:spacing w:line="360" w:lineRule="auto"/>
        <w:ind w:left="480" w:leftChars="200" w:firstLine="480" w:firstLineChars="200"/>
      </w:pPr>
      <w:r>
        <w:rPr>
          <w:rFonts w:hint="eastAsia"/>
        </w:rPr>
        <w:t>设备安装图；</w:t>
      </w:r>
    </w:p>
    <w:p>
      <w:pPr>
        <w:spacing w:line="360" w:lineRule="auto"/>
        <w:ind w:left="480" w:leftChars="200" w:firstLine="480" w:firstLineChars="200"/>
      </w:pPr>
      <w:r>
        <w:rPr>
          <w:rFonts w:hint="eastAsia"/>
        </w:rPr>
        <w:t>电气一、二次接线图；</w:t>
      </w:r>
    </w:p>
    <w:p>
      <w:pPr>
        <w:spacing w:line="360" w:lineRule="auto"/>
        <w:ind w:left="480" w:leftChars="200" w:firstLine="480" w:firstLineChars="200"/>
      </w:pPr>
      <w:r>
        <w:rPr>
          <w:rFonts w:hint="eastAsia"/>
        </w:rPr>
        <w:t>所有外购件合格证明及安装、调试使用说明书；</w:t>
      </w:r>
    </w:p>
    <w:p>
      <w:pPr>
        <w:spacing w:line="360" w:lineRule="auto"/>
        <w:ind w:left="480" w:leftChars="200" w:firstLine="480" w:firstLineChars="200"/>
      </w:pPr>
      <w:r>
        <w:rPr>
          <w:rFonts w:hint="eastAsia"/>
        </w:rPr>
        <w:t>设备制造、质检测试报告记录；</w:t>
      </w:r>
    </w:p>
    <w:p>
      <w:pPr>
        <w:spacing w:line="360" w:lineRule="auto"/>
        <w:ind w:left="480" w:leftChars="200" w:firstLine="480" w:firstLineChars="200"/>
      </w:pPr>
      <w:r>
        <w:rPr>
          <w:rFonts w:hint="eastAsia"/>
        </w:rPr>
        <w:t>设备验收标准；</w:t>
      </w:r>
    </w:p>
    <w:p>
      <w:pPr>
        <w:spacing w:line="360" w:lineRule="auto"/>
        <w:ind w:left="480" w:leftChars="200" w:firstLine="480" w:firstLineChars="200"/>
      </w:pPr>
      <w:r>
        <w:rPr>
          <w:rFonts w:hint="eastAsia"/>
        </w:rPr>
        <w:t>设备安装、运行、维修说明书；</w:t>
      </w:r>
    </w:p>
    <w:p>
      <w:pPr>
        <w:spacing w:line="360" w:lineRule="auto"/>
        <w:ind w:left="480" w:leftChars="200" w:firstLine="480" w:firstLineChars="200"/>
      </w:pPr>
      <w:r>
        <w:rPr>
          <w:rFonts w:hint="eastAsia"/>
        </w:rPr>
        <w:t>易损件明细表及易损件图纸；</w:t>
      </w:r>
    </w:p>
    <w:p>
      <w:pPr>
        <w:spacing w:line="360" w:lineRule="auto"/>
        <w:ind w:left="480" w:leftChars="200" w:firstLine="480" w:firstLineChars="200"/>
      </w:pPr>
      <w:r>
        <w:rPr>
          <w:rFonts w:hint="eastAsia"/>
        </w:rPr>
        <w:t>备品备件和专用工具一览表；</w:t>
      </w:r>
    </w:p>
    <w:p>
      <w:pPr>
        <w:spacing w:line="360" w:lineRule="auto"/>
        <w:ind w:left="480" w:leftChars="200" w:firstLine="480" w:firstLineChars="200"/>
      </w:pPr>
      <w:r>
        <w:rPr>
          <w:rFonts w:hint="eastAsia"/>
        </w:rPr>
        <w:t>有关的规程、规范和标准。</w:t>
      </w:r>
    </w:p>
    <w:p>
      <w:pPr>
        <w:spacing w:line="360" w:lineRule="auto"/>
      </w:pPr>
      <w:r>
        <w:rPr>
          <w:rFonts w:hint="eastAsia"/>
        </w:rPr>
        <w:t>6.1.4供方应根据保证安装、调试、运行、维护保养等顺利进行的原则，提供有关建议性技术文件资料和各类图纸。</w:t>
      </w:r>
    </w:p>
    <w:p>
      <w:pPr>
        <w:numPr>
          <w:ilvl w:val="1"/>
          <w:numId w:val="8"/>
        </w:numPr>
        <w:spacing w:line="360" w:lineRule="auto"/>
        <w:rPr>
          <w:b/>
        </w:rPr>
      </w:pPr>
      <w:r>
        <w:rPr>
          <w:rFonts w:hint="eastAsia"/>
          <w:b/>
        </w:rPr>
        <w:t>安装、试运指导</w:t>
      </w:r>
    </w:p>
    <w:p>
      <w:pPr>
        <w:spacing w:line="360" w:lineRule="auto"/>
        <w:ind w:left="480" w:leftChars="200"/>
      </w:pPr>
      <w:r>
        <w:rPr>
          <w:rFonts w:hint="eastAsia"/>
        </w:rPr>
        <w:t>供方根据需方要求及时到现场无偿指导设备安装工作及协助进行设备调试工作。</w:t>
      </w:r>
    </w:p>
    <w:p>
      <w:pPr>
        <w:numPr>
          <w:ilvl w:val="1"/>
          <w:numId w:val="8"/>
        </w:numPr>
        <w:spacing w:line="360" w:lineRule="auto"/>
        <w:rPr>
          <w:b/>
        </w:rPr>
      </w:pPr>
      <w:r>
        <w:rPr>
          <w:rFonts w:hint="eastAsia"/>
          <w:b/>
        </w:rPr>
        <w:t>售后服务</w:t>
      </w:r>
    </w:p>
    <w:p>
      <w:pPr>
        <w:spacing w:line="360" w:lineRule="auto"/>
        <w:ind w:firstLine="360" w:firstLineChars="150"/>
      </w:pPr>
      <w:r>
        <w:rPr>
          <w:rFonts w:hint="eastAsia"/>
        </w:rPr>
        <w:t>在设备质保期内，因设备质量问题而造成的设备损坏或不能正常使用时，供方应及时到现场无偿修理，更换损坏或不合格件。</w:t>
      </w:r>
    </w:p>
    <w:p>
      <w:pPr>
        <w:spacing w:line="360" w:lineRule="auto"/>
        <w:ind w:firstLine="360" w:firstLineChars="150"/>
      </w:pPr>
      <w:r>
        <w:rPr>
          <w:rFonts w:hint="eastAsia"/>
        </w:rPr>
        <w:t>本机运行中如少量铁件进入机内后，机内主要部件应不损坏，机壳应不变形。质保期后，供方应长期有偿供应备品备件。质保期后，如需方有必要请供方人员到现场服务时，供方人员应积极到现场服务。</w:t>
      </w:r>
    </w:p>
    <w:p>
      <w:pPr>
        <w:pStyle w:val="3"/>
        <w:spacing w:line="360" w:lineRule="auto"/>
        <w:rPr>
          <w:sz w:val="24"/>
          <w:szCs w:val="24"/>
        </w:rPr>
      </w:pPr>
      <w:bookmarkStart w:id="33" w:name="_Toc255982372"/>
      <w:bookmarkStart w:id="34" w:name="_Toc85871233"/>
      <w:r>
        <w:rPr>
          <w:rFonts w:hint="eastAsia"/>
          <w:sz w:val="24"/>
          <w:szCs w:val="24"/>
        </w:rPr>
        <w:t>7 技术文件和图纸交付进度</w:t>
      </w:r>
      <w:bookmarkEnd w:id="33"/>
      <w:bookmarkEnd w:id="34"/>
    </w:p>
    <w:p>
      <w:pPr>
        <w:numPr>
          <w:ilvl w:val="1"/>
          <w:numId w:val="9"/>
        </w:numPr>
        <w:spacing w:line="360" w:lineRule="auto"/>
      </w:pPr>
      <w:r>
        <w:rPr>
          <w:rFonts w:hint="eastAsia"/>
        </w:rPr>
        <w:t xml:space="preserve">   供方提供的技术文件和图纸（包括电子文档）的交付进度应能满足工程设计和施工实际进度的要求，在投标书中提出并经需方审查确认。</w:t>
      </w:r>
    </w:p>
    <w:p>
      <w:pPr>
        <w:numPr>
          <w:ilvl w:val="1"/>
          <w:numId w:val="9"/>
        </w:numPr>
        <w:tabs>
          <w:tab w:val="left" w:pos="0"/>
          <w:tab w:val="clear" w:pos="360"/>
        </w:tabs>
        <w:spacing w:line="360" w:lineRule="auto"/>
        <w:ind w:left="0" w:firstLine="0"/>
      </w:pPr>
      <w:r>
        <w:rPr>
          <w:rFonts w:hint="eastAsia"/>
        </w:rPr>
        <w:t>在投标书中，供方应提供设备总图和安装使用说明书以及供方所执行的有关标准等资料。</w:t>
      </w:r>
    </w:p>
    <w:p>
      <w:pPr>
        <w:numPr>
          <w:ilvl w:val="1"/>
          <w:numId w:val="9"/>
        </w:numPr>
        <w:tabs>
          <w:tab w:val="left" w:pos="0"/>
          <w:tab w:val="clear" w:pos="360"/>
        </w:tabs>
        <w:spacing w:line="360" w:lineRule="auto"/>
        <w:ind w:left="0" w:firstLine="0"/>
      </w:pPr>
      <w:r>
        <w:rPr>
          <w:rFonts w:hint="eastAsia"/>
        </w:rPr>
        <w:t xml:space="preserve">   签订技术协议后7天内，供方应向需方提供如下资料（各两套），但不限于此：</w:t>
      </w:r>
    </w:p>
    <w:p>
      <w:pPr>
        <w:numPr>
          <w:ilvl w:val="3"/>
          <w:numId w:val="10"/>
        </w:numPr>
        <w:spacing w:line="360" w:lineRule="auto"/>
      </w:pPr>
      <w:r>
        <w:rPr>
          <w:rFonts w:hint="eastAsia"/>
        </w:rPr>
        <w:t>设备总图、电气一、二次接线图；</w:t>
      </w:r>
    </w:p>
    <w:p>
      <w:pPr>
        <w:numPr>
          <w:ilvl w:val="3"/>
          <w:numId w:val="10"/>
        </w:numPr>
        <w:spacing w:line="360" w:lineRule="auto"/>
      </w:pPr>
      <w:r>
        <w:rPr>
          <w:rFonts w:hint="eastAsia"/>
        </w:rPr>
        <w:t>荷重及土建基础资料；</w:t>
      </w:r>
    </w:p>
    <w:p>
      <w:pPr>
        <w:numPr>
          <w:ilvl w:val="3"/>
          <w:numId w:val="10"/>
        </w:numPr>
        <w:spacing w:line="360" w:lineRule="auto"/>
      </w:pPr>
      <w:r>
        <w:rPr>
          <w:rFonts w:hint="eastAsia"/>
        </w:rPr>
        <w:t>最大运输件的长、宽、高度尺寸以及最重起吊件的重量；</w:t>
      </w:r>
    </w:p>
    <w:p>
      <w:pPr>
        <w:numPr>
          <w:ilvl w:val="3"/>
          <w:numId w:val="10"/>
        </w:numPr>
        <w:spacing w:line="360" w:lineRule="auto"/>
      </w:pPr>
      <w:r>
        <w:rPr>
          <w:rFonts w:hint="eastAsia"/>
        </w:rPr>
        <w:t>安装使用说明书。</w:t>
      </w:r>
    </w:p>
    <w:p>
      <w:pPr>
        <w:numPr>
          <w:ilvl w:val="1"/>
          <w:numId w:val="9"/>
        </w:numPr>
        <w:tabs>
          <w:tab w:val="left" w:pos="735"/>
          <w:tab w:val="clear" w:pos="360"/>
        </w:tabs>
        <w:spacing w:line="360" w:lineRule="auto"/>
        <w:ind w:left="735" w:hanging="735"/>
      </w:pPr>
      <w:r>
        <w:rPr>
          <w:rFonts w:hint="eastAsia"/>
          <w:highlight w:val="yellow"/>
        </w:rPr>
        <w:t>随机装箱资料图纸和文件为1</w:t>
      </w:r>
      <w:r>
        <w:rPr>
          <w:highlight w:val="yellow"/>
        </w:rPr>
        <w:t>0</w:t>
      </w:r>
      <w:r>
        <w:rPr>
          <w:rFonts w:hint="eastAsia"/>
          <w:highlight w:val="yellow"/>
        </w:rPr>
        <w:t>份及电子版。</w:t>
      </w:r>
      <w:r>
        <w:rPr>
          <w:rFonts w:hint="eastAsia"/>
          <w:kern w:val="0"/>
        </w:rPr>
        <w:t>邮寄给需方的最终图形和文件为</w:t>
      </w:r>
      <w:r>
        <w:rPr>
          <w:rFonts w:hint="eastAsia"/>
          <w:b/>
          <w:kern w:val="0"/>
        </w:rPr>
        <w:t>2</w:t>
      </w:r>
      <w:r>
        <w:rPr>
          <w:rFonts w:hint="eastAsia"/>
          <w:kern w:val="0"/>
        </w:rPr>
        <w:t xml:space="preserve">份文字版， </w:t>
      </w:r>
      <w:r>
        <w:rPr>
          <w:rFonts w:hint="eastAsia"/>
          <w:b/>
          <w:kern w:val="0"/>
        </w:rPr>
        <w:t>1</w:t>
      </w:r>
      <w:r>
        <w:rPr>
          <w:rFonts w:hint="eastAsia"/>
          <w:kern w:val="0"/>
        </w:rPr>
        <w:t>份电子版（光盘）。</w:t>
      </w:r>
      <w:r>
        <w:rPr>
          <w:rFonts w:hint="eastAsia" w:ascii="Arial" w:hAnsi="Arial"/>
        </w:rPr>
        <w:t>格式为</w:t>
      </w:r>
      <w:r>
        <w:rPr>
          <w:rFonts w:ascii="Arial" w:hAnsi="Arial"/>
        </w:rPr>
        <w:t>A</w:t>
      </w:r>
      <w:r>
        <w:rPr>
          <w:rFonts w:hint="eastAsia" w:ascii="Arial" w:hAnsi="Arial"/>
        </w:rPr>
        <w:t>UTO</w:t>
      </w:r>
      <w:r>
        <w:rPr>
          <w:rFonts w:ascii="Arial" w:hAnsi="Arial"/>
          <w:highlight w:val="yellow"/>
        </w:rPr>
        <w:t>CAD</w:t>
      </w:r>
      <w:r>
        <w:rPr>
          <w:rFonts w:hint="eastAsia" w:ascii="Arial" w:hAnsi="Arial"/>
          <w:highlight w:val="yellow"/>
        </w:rPr>
        <w:t>2004以</w:t>
      </w:r>
      <w:r>
        <w:rPr>
          <w:rFonts w:hint="eastAsia" w:ascii="Arial" w:hAnsi="Arial"/>
        </w:rPr>
        <w:t>上及</w:t>
      </w:r>
      <w:r>
        <w:rPr>
          <w:rFonts w:ascii="Arial" w:hAnsi="Arial"/>
        </w:rPr>
        <w:t>MICROSOFT OFFICE(*.DWG</w:t>
      </w:r>
      <w:r>
        <w:rPr>
          <w:rFonts w:hint="eastAsia" w:ascii="Arial" w:hAnsi="Arial"/>
        </w:rPr>
        <w:t>及*</w:t>
      </w:r>
      <w:r>
        <w:rPr>
          <w:rFonts w:ascii="Arial" w:hAnsi="Arial"/>
        </w:rPr>
        <w:t>.DOC)</w:t>
      </w:r>
      <w:r>
        <w:rPr>
          <w:rFonts w:hint="eastAsia" w:ascii="Arial" w:hAnsi="Arial"/>
        </w:rPr>
        <w:t>。图纸要求按比例绘制。</w:t>
      </w:r>
    </w:p>
    <w:p>
      <w:pPr>
        <w:pStyle w:val="3"/>
        <w:spacing w:line="360" w:lineRule="auto"/>
        <w:rPr>
          <w:sz w:val="24"/>
          <w:szCs w:val="24"/>
        </w:rPr>
      </w:pPr>
      <w:bookmarkStart w:id="35" w:name="_Toc85871234"/>
      <w:bookmarkStart w:id="36" w:name="_Toc255982373"/>
      <w:r>
        <w:rPr>
          <w:rFonts w:hint="eastAsia"/>
          <w:sz w:val="24"/>
          <w:szCs w:val="24"/>
        </w:rPr>
        <w:t>8 质量保证和</w:t>
      </w:r>
      <w:r>
        <w:rPr>
          <w:rFonts w:hint="eastAsia" w:ascii="Times New Roman"/>
          <w:kern w:val="2"/>
          <w:sz w:val="24"/>
          <w:szCs w:val="24"/>
        </w:rPr>
        <w:t>试验</w:t>
      </w:r>
      <w:bookmarkEnd w:id="35"/>
      <w:bookmarkEnd w:id="36"/>
    </w:p>
    <w:p>
      <w:pPr>
        <w:numPr>
          <w:ilvl w:val="1"/>
          <w:numId w:val="11"/>
        </w:numPr>
        <w:tabs>
          <w:tab w:val="left" w:pos="840"/>
        </w:tabs>
        <w:spacing w:line="360" w:lineRule="auto"/>
        <w:rPr>
          <w:b/>
        </w:rPr>
      </w:pPr>
      <w:r>
        <w:rPr>
          <w:rFonts w:hint="eastAsia"/>
          <w:b/>
        </w:rPr>
        <w:t>质量保证</w:t>
      </w:r>
    </w:p>
    <w:p>
      <w:pPr>
        <w:spacing w:line="360" w:lineRule="auto"/>
        <w:ind w:firstLine="360" w:firstLineChars="150"/>
      </w:pPr>
      <w:r>
        <w:rPr>
          <w:rFonts w:hint="eastAsia"/>
        </w:rPr>
        <w:t>8.1.1供方应有健全的质量保证体系，并应随投标书提交一份质量保证计划，该计划应包括质量保证程序、组织方式和所涉人员的资格证明及影响项目质量的各项活动如设计、采购、制造、运输、安装、调试和维护等的控制。供方需具有负责质量保证活动的专职人员。</w:t>
      </w:r>
    </w:p>
    <w:p>
      <w:pPr>
        <w:spacing w:line="360" w:lineRule="auto"/>
        <w:ind w:firstLine="360" w:firstLineChars="150"/>
      </w:pPr>
      <w:r>
        <w:rPr>
          <w:rFonts w:hint="eastAsia"/>
        </w:rPr>
        <w:t>8.1.2质量保证计划必须明确下列各点：</w:t>
      </w:r>
    </w:p>
    <w:p>
      <w:pPr>
        <w:spacing w:line="360" w:lineRule="auto"/>
        <w:ind w:firstLine="360" w:firstLineChars="150"/>
      </w:pPr>
      <w:r>
        <w:rPr>
          <w:rFonts w:hint="eastAsia"/>
        </w:rPr>
        <w:t>设备出售者货源的检验和控制；</w:t>
      </w:r>
    </w:p>
    <w:p>
      <w:pPr>
        <w:spacing w:line="360" w:lineRule="auto"/>
        <w:ind w:firstLine="360" w:firstLineChars="150"/>
      </w:pPr>
      <w:r>
        <w:rPr>
          <w:rFonts w:hint="eastAsia"/>
        </w:rPr>
        <w:t>所采购的设备或材料的技术文件的控制；</w:t>
      </w:r>
    </w:p>
    <w:p>
      <w:pPr>
        <w:spacing w:line="360" w:lineRule="auto"/>
        <w:ind w:firstLine="360" w:firstLineChars="150"/>
      </w:pPr>
      <w:r>
        <w:rPr>
          <w:rFonts w:hint="eastAsia"/>
        </w:rPr>
        <w:t>材料的控制；</w:t>
      </w:r>
    </w:p>
    <w:p>
      <w:pPr>
        <w:spacing w:line="360" w:lineRule="auto"/>
        <w:ind w:firstLine="360" w:firstLineChars="150"/>
      </w:pPr>
      <w:r>
        <w:rPr>
          <w:rFonts w:hint="eastAsia"/>
        </w:rPr>
        <w:t>特殊工艺控制；</w:t>
      </w:r>
    </w:p>
    <w:p>
      <w:pPr>
        <w:spacing w:line="360" w:lineRule="auto"/>
        <w:ind w:firstLine="360" w:firstLineChars="150"/>
      </w:pPr>
      <w:r>
        <w:rPr>
          <w:rFonts w:hint="eastAsia"/>
        </w:rPr>
        <w:t>现场施工监督。</w:t>
      </w:r>
    </w:p>
    <w:p>
      <w:pPr>
        <w:spacing w:line="360" w:lineRule="auto"/>
        <w:ind w:firstLine="360" w:firstLineChars="150"/>
      </w:pPr>
      <w:r>
        <w:rPr>
          <w:rFonts w:hint="eastAsia"/>
        </w:rPr>
        <w:t>重要的部件试运见证和质量控制活动应邀请需方的代表参加，且需方有权参加分析并纠正与需方要求不一致的活动。</w:t>
      </w:r>
    </w:p>
    <w:p>
      <w:pPr>
        <w:spacing w:line="360" w:lineRule="auto"/>
        <w:ind w:firstLine="360" w:firstLineChars="150"/>
      </w:pPr>
      <w:r>
        <w:rPr>
          <w:rFonts w:hint="eastAsia"/>
        </w:rPr>
        <w:t>8.1.3设备的设计应满足国家的有关标准、规范的要求，并应充分考虑当地环境条件和使用条件的影响。</w:t>
      </w:r>
    </w:p>
    <w:p>
      <w:pPr>
        <w:spacing w:line="360" w:lineRule="auto"/>
        <w:ind w:firstLine="360" w:firstLineChars="150"/>
      </w:pPr>
      <w:r>
        <w:rPr>
          <w:rFonts w:hint="eastAsia"/>
        </w:rPr>
        <w:t>8.1.4设备用材应采用能满足其使用条件的优质材料，零部件或元器件的选择应以技术先进，成熟可靠，安全耐用为原则。严禁采用国家公布的淘汰产品。</w:t>
      </w:r>
    </w:p>
    <w:p>
      <w:pPr>
        <w:spacing w:line="360" w:lineRule="auto"/>
        <w:ind w:firstLine="360" w:firstLineChars="150"/>
      </w:pPr>
      <w:r>
        <w:rPr>
          <w:rFonts w:hint="eastAsia"/>
        </w:rPr>
        <w:t>8.1.5供方应提出施工现场安装注意事项及安装质量保证方法。</w:t>
      </w:r>
    </w:p>
    <w:p>
      <w:pPr>
        <w:numPr>
          <w:ilvl w:val="1"/>
          <w:numId w:val="11"/>
        </w:numPr>
        <w:tabs>
          <w:tab w:val="left" w:pos="840"/>
        </w:tabs>
        <w:spacing w:line="360" w:lineRule="auto"/>
        <w:rPr>
          <w:b/>
        </w:rPr>
      </w:pPr>
      <w:r>
        <w:rPr>
          <w:rFonts w:hint="eastAsia"/>
          <w:b/>
        </w:rPr>
        <w:t>试验</w:t>
      </w:r>
    </w:p>
    <w:p>
      <w:pPr>
        <w:spacing w:line="360" w:lineRule="auto"/>
        <w:ind w:firstLine="360" w:firstLineChars="150"/>
      </w:pPr>
      <w:r>
        <w:rPr>
          <w:rFonts w:hint="eastAsia"/>
        </w:rPr>
        <w:t>8.2.1设备应进行工厂试验和现场试验，以证实材料、工艺及性能满足所采用的标准及本技术规范书的要求。供方应严格按照所采用的标准、规范制定出一套完整的检验、试验和验收试验的项目、步骤及验收准则，并应以书面的形式随报价书提交需方，以供需方审阅并提出意见。</w:t>
      </w:r>
    </w:p>
    <w:p>
      <w:pPr>
        <w:spacing w:line="360" w:lineRule="auto"/>
        <w:ind w:firstLine="360" w:firstLineChars="150"/>
      </w:pPr>
      <w:r>
        <w:rPr>
          <w:rFonts w:hint="eastAsia"/>
        </w:rPr>
        <w:t>8.2.2检验、试验工作在工厂进行，验收试验工作在设备使用现场进行。需方代表有权观察任何项目的检验、试验过程，但需方的观察并不意味着供方可解除或减轻自身的责任。验收试验在供方代表的指导和监督下进行，供方应按其所列试验项目及程序提供必要的试验手段（包括仪器、仪表及其连接和校验等）。</w:t>
      </w:r>
    </w:p>
    <w:p>
      <w:pPr>
        <w:spacing w:line="360" w:lineRule="auto"/>
        <w:ind w:firstLine="360" w:firstLineChars="150"/>
      </w:pPr>
      <w:r>
        <w:rPr>
          <w:rFonts w:hint="eastAsia"/>
        </w:rPr>
        <w:t>8.2.3供方对其提供的设备都应进行检验或试验，试验设施应由需方认可。供方应在计划开始前   天通知需方，以便需方派出专家参加任何一个或全部的试验过程。</w:t>
      </w:r>
    </w:p>
    <w:p>
      <w:pPr>
        <w:spacing w:line="360" w:lineRule="auto"/>
        <w:ind w:firstLine="360" w:firstLineChars="150"/>
      </w:pPr>
      <w:r>
        <w:rPr>
          <w:rFonts w:hint="eastAsia"/>
        </w:rPr>
        <w:t>8.2.4各检验、试验阶段完成后，供方应向需方提交检验或试验报告。在验收试验后，供方和需方均应在验收试验报告上签字。</w:t>
      </w:r>
    </w:p>
    <w:p>
      <w:pPr>
        <w:spacing w:line="360" w:lineRule="auto"/>
        <w:ind w:firstLine="360" w:firstLineChars="150"/>
      </w:pPr>
      <w:r>
        <w:rPr>
          <w:rFonts w:hint="eastAsia"/>
        </w:rPr>
        <w:t>8.2.5各阶段检验、试验不能满足标准、规范及性能要求时，供方应自费进行调整、修改和补充，直至满足要求为止。</w:t>
      </w:r>
    </w:p>
    <w:p>
      <w:pPr>
        <w:pStyle w:val="3"/>
        <w:spacing w:line="360" w:lineRule="auto"/>
        <w:rPr>
          <w:sz w:val="24"/>
          <w:szCs w:val="24"/>
        </w:rPr>
      </w:pPr>
      <w:bookmarkStart w:id="37" w:name="_Toc85871235"/>
      <w:bookmarkStart w:id="38" w:name="_Toc255982374"/>
      <w:r>
        <w:rPr>
          <w:rFonts w:hint="eastAsia"/>
          <w:sz w:val="24"/>
          <w:szCs w:val="24"/>
        </w:rPr>
        <w:t>9 包装、运输和储存</w:t>
      </w:r>
      <w:bookmarkEnd w:id="37"/>
      <w:bookmarkEnd w:id="38"/>
    </w:p>
    <w:p>
      <w:pPr>
        <w:tabs>
          <w:tab w:val="left" w:pos="840"/>
        </w:tabs>
        <w:spacing w:line="360" w:lineRule="auto"/>
      </w:pPr>
      <w:r>
        <w:rPr>
          <w:rFonts w:hint="eastAsia"/>
        </w:rPr>
        <w:t>9.1</w:t>
      </w:r>
      <w:r>
        <w:rPr>
          <w:b/>
        </w:rPr>
        <w:t>包装</w:t>
      </w:r>
    </w:p>
    <w:p>
      <w:pPr>
        <w:numPr>
          <w:ilvl w:val="2"/>
          <w:numId w:val="12"/>
        </w:numPr>
        <w:spacing w:line="360" w:lineRule="auto"/>
      </w:pPr>
      <w:r>
        <w:rPr>
          <w:rFonts w:hint="eastAsia"/>
        </w:rPr>
        <w:t>设备出厂时，零部件的包装应符合JB/ZQ4286的规定，应分类装箱并应遵循适于运输，便于安装和查找的原则。</w:t>
      </w:r>
    </w:p>
    <w:p>
      <w:pPr>
        <w:numPr>
          <w:ilvl w:val="2"/>
          <w:numId w:val="13"/>
        </w:numPr>
        <w:spacing w:line="360" w:lineRule="auto"/>
      </w:pPr>
      <w:r>
        <w:rPr>
          <w:rFonts w:hint="eastAsia"/>
        </w:rPr>
        <w:t>包装箱外壁应有明显的文字说明，如：设备名称、用途及运输、储存安全注意事项等。</w:t>
      </w:r>
    </w:p>
    <w:p>
      <w:pPr>
        <w:numPr>
          <w:ilvl w:val="2"/>
          <w:numId w:val="14"/>
        </w:numPr>
        <w:spacing w:line="360" w:lineRule="auto"/>
      </w:pPr>
      <w:r>
        <w:rPr>
          <w:rFonts w:hint="eastAsia"/>
        </w:rPr>
        <w:t>包装箱内应附带下列文件，但不限于此：</w:t>
      </w:r>
    </w:p>
    <w:p>
      <w:pPr>
        <w:spacing w:line="360" w:lineRule="auto"/>
        <w:ind w:left="576"/>
      </w:pPr>
      <w:r>
        <w:rPr>
          <w:rFonts w:hint="eastAsia"/>
        </w:rPr>
        <w:t>装箱单；</w:t>
      </w:r>
    </w:p>
    <w:p>
      <w:pPr>
        <w:spacing w:line="360" w:lineRule="auto"/>
        <w:ind w:left="576"/>
      </w:pPr>
      <w:r>
        <w:rPr>
          <w:rFonts w:hint="eastAsia"/>
        </w:rPr>
        <w:t>产品使用说明书；</w:t>
      </w:r>
    </w:p>
    <w:p>
      <w:pPr>
        <w:spacing w:line="360" w:lineRule="auto"/>
        <w:ind w:left="576"/>
      </w:pPr>
      <w:r>
        <w:rPr>
          <w:rFonts w:hint="eastAsia"/>
        </w:rPr>
        <w:t>产品检验合格证书；</w:t>
      </w:r>
    </w:p>
    <w:p>
      <w:pPr>
        <w:spacing w:line="360" w:lineRule="auto"/>
        <w:ind w:left="576"/>
      </w:pPr>
      <w:r>
        <w:rPr>
          <w:rFonts w:hint="eastAsia"/>
        </w:rPr>
        <w:t>安装指示图。</w:t>
      </w:r>
    </w:p>
    <w:p>
      <w:pPr>
        <w:tabs>
          <w:tab w:val="left" w:pos="840"/>
        </w:tabs>
        <w:spacing w:line="360" w:lineRule="auto"/>
        <w:rPr>
          <w:b/>
        </w:rPr>
      </w:pPr>
      <w:r>
        <w:rPr>
          <w:rFonts w:hint="eastAsia"/>
          <w:b/>
        </w:rPr>
        <w:t>9.2运输</w:t>
      </w:r>
    </w:p>
    <w:p>
      <w:pPr>
        <w:pStyle w:val="14"/>
        <w:spacing w:line="360" w:lineRule="auto"/>
        <w:rPr>
          <w:sz w:val="24"/>
          <w:szCs w:val="24"/>
        </w:rPr>
      </w:pPr>
      <w:r>
        <w:rPr>
          <w:rFonts w:hint="eastAsia"/>
          <w:sz w:val="24"/>
          <w:szCs w:val="24"/>
        </w:rPr>
        <w:t>经由铁路运输的部件，其运输尺寸和重量不应超过国家标准所允许的限界规定。其它运输方式部件的运输尺寸和重量的限值，在授予合同后需供双方进一步协商确定。长大部件的运输应有防止变形、擦伤及碰撞等的措施。</w:t>
      </w:r>
    </w:p>
    <w:p>
      <w:pPr>
        <w:tabs>
          <w:tab w:val="left" w:pos="840"/>
        </w:tabs>
        <w:spacing w:line="360" w:lineRule="auto"/>
        <w:rPr>
          <w:b/>
        </w:rPr>
      </w:pPr>
      <w:r>
        <w:rPr>
          <w:rFonts w:hint="eastAsia"/>
          <w:b/>
        </w:rPr>
        <w:t>93储存</w:t>
      </w:r>
    </w:p>
    <w:p>
      <w:pPr>
        <w:spacing w:line="360" w:lineRule="auto"/>
      </w:pPr>
      <w:r>
        <w:rPr>
          <w:rFonts w:hint="eastAsia"/>
        </w:rPr>
        <w:t>供方应根据包装箱内物品的特性，向需方提供安全保存方法的说明。</w:t>
      </w:r>
    </w:p>
    <w:p>
      <w:pPr>
        <w:pStyle w:val="3"/>
      </w:pPr>
      <w:r>
        <w:br w:type="page"/>
      </w:r>
      <w:bookmarkStart w:id="39" w:name="_Toc177465621"/>
      <w:bookmarkStart w:id="40" w:name="_Toc255982375"/>
      <w:r>
        <w:rPr>
          <w:rFonts w:hint="eastAsia"/>
        </w:rPr>
        <w:t>10 差异表</w:t>
      </w:r>
      <w:bookmarkEnd w:id="39"/>
      <w:bookmarkEnd w:id="40"/>
    </w:p>
    <w:p>
      <w:pPr>
        <w:snapToGrid w:val="0"/>
        <w:spacing w:line="400" w:lineRule="atLeast"/>
      </w:pPr>
      <w:r>
        <w:t>供方要将投标文件和招标文件的差异之处汇集成表。技术部分和商务部分要单独列表。</w:t>
      </w:r>
    </w:p>
    <w:p>
      <w:pPr>
        <w:snapToGrid w:val="0"/>
        <w:spacing w:line="400" w:lineRule="atLeast"/>
        <w:jc w:val="center"/>
      </w:pPr>
      <w:r>
        <w:t>差    异    表</w:t>
      </w:r>
    </w:p>
    <w:tbl>
      <w:tblPr>
        <w:tblStyle w:val="33"/>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846"/>
        <w:gridCol w:w="971"/>
        <w:gridCol w:w="2047"/>
        <w:gridCol w:w="1164"/>
        <w:gridCol w:w="398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6" w:type="dxa"/>
          </w:tcPr>
          <w:p>
            <w:pPr>
              <w:snapToGrid w:val="0"/>
              <w:spacing w:line="400" w:lineRule="atLeast"/>
              <w:jc w:val="center"/>
              <w:rPr>
                <w:sz w:val="21"/>
                <w:szCs w:val="21"/>
              </w:rPr>
            </w:pPr>
            <w:r>
              <w:rPr>
                <w:sz w:val="21"/>
                <w:szCs w:val="21"/>
              </w:rPr>
              <w:t>序</w:t>
            </w:r>
          </w:p>
        </w:tc>
        <w:tc>
          <w:tcPr>
            <w:tcW w:w="3018" w:type="dxa"/>
            <w:gridSpan w:val="2"/>
          </w:tcPr>
          <w:p>
            <w:pPr>
              <w:snapToGrid w:val="0"/>
              <w:spacing w:line="400" w:lineRule="atLeast"/>
              <w:jc w:val="center"/>
              <w:rPr>
                <w:sz w:val="21"/>
                <w:szCs w:val="21"/>
              </w:rPr>
            </w:pPr>
            <w:r>
              <w:rPr>
                <w:sz w:val="21"/>
                <w:szCs w:val="21"/>
              </w:rPr>
              <w:t>招标文件</w:t>
            </w:r>
          </w:p>
        </w:tc>
        <w:tc>
          <w:tcPr>
            <w:tcW w:w="5151" w:type="dxa"/>
            <w:gridSpan w:val="2"/>
          </w:tcPr>
          <w:p>
            <w:pPr>
              <w:snapToGrid w:val="0"/>
              <w:spacing w:line="400" w:lineRule="atLeast"/>
              <w:jc w:val="center"/>
              <w:rPr>
                <w:sz w:val="21"/>
                <w:szCs w:val="21"/>
              </w:rPr>
            </w:pPr>
            <w:r>
              <w:rPr>
                <w:sz w:val="21"/>
                <w:szCs w:val="21"/>
              </w:rPr>
              <w:t>投  标  文  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6" w:type="dxa"/>
          </w:tcPr>
          <w:p>
            <w:pPr>
              <w:snapToGrid w:val="0"/>
              <w:spacing w:line="400" w:lineRule="atLeast"/>
              <w:jc w:val="center"/>
              <w:rPr>
                <w:sz w:val="21"/>
                <w:szCs w:val="21"/>
              </w:rPr>
            </w:pPr>
            <w:r>
              <w:rPr>
                <w:sz w:val="21"/>
                <w:szCs w:val="21"/>
              </w:rPr>
              <w:t>号</w:t>
            </w:r>
          </w:p>
        </w:tc>
        <w:tc>
          <w:tcPr>
            <w:tcW w:w="971" w:type="dxa"/>
          </w:tcPr>
          <w:p>
            <w:pPr>
              <w:snapToGrid w:val="0"/>
              <w:spacing w:line="400" w:lineRule="atLeast"/>
              <w:rPr>
                <w:sz w:val="21"/>
                <w:szCs w:val="21"/>
              </w:rPr>
            </w:pPr>
            <w:r>
              <w:rPr>
                <w:sz w:val="21"/>
                <w:szCs w:val="21"/>
              </w:rPr>
              <w:t xml:space="preserve">  条目</w:t>
            </w:r>
          </w:p>
        </w:tc>
        <w:tc>
          <w:tcPr>
            <w:tcW w:w="2047" w:type="dxa"/>
          </w:tcPr>
          <w:p>
            <w:pPr>
              <w:snapToGrid w:val="0"/>
              <w:spacing w:line="400" w:lineRule="atLeast"/>
              <w:jc w:val="center"/>
              <w:rPr>
                <w:sz w:val="21"/>
                <w:szCs w:val="21"/>
              </w:rPr>
            </w:pPr>
            <w:r>
              <w:rPr>
                <w:sz w:val="21"/>
                <w:szCs w:val="21"/>
              </w:rPr>
              <w:t>简要内容</w:t>
            </w:r>
          </w:p>
        </w:tc>
        <w:tc>
          <w:tcPr>
            <w:tcW w:w="1164" w:type="dxa"/>
          </w:tcPr>
          <w:p>
            <w:pPr>
              <w:snapToGrid w:val="0"/>
              <w:spacing w:line="400" w:lineRule="atLeast"/>
              <w:rPr>
                <w:sz w:val="21"/>
                <w:szCs w:val="21"/>
              </w:rPr>
            </w:pPr>
            <w:r>
              <w:rPr>
                <w:sz w:val="21"/>
                <w:szCs w:val="21"/>
              </w:rPr>
              <w:t xml:space="preserve">  条目</w:t>
            </w:r>
          </w:p>
        </w:tc>
        <w:tc>
          <w:tcPr>
            <w:tcW w:w="3987" w:type="dxa"/>
          </w:tcPr>
          <w:p>
            <w:pPr>
              <w:snapToGrid w:val="0"/>
              <w:spacing w:line="400" w:lineRule="atLeast"/>
              <w:jc w:val="center"/>
              <w:rPr>
                <w:sz w:val="21"/>
                <w:szCs w:val="21"/>
              </w:rPr>
            </w:pPr>
            <w:r>
              <w:rPr>
                <w:sz w:val="21"/>
                <w:szCs w:val="21"/>
              </w:rPr>
              <w:t>简 要 内 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6" w:type="dxa"/>
          </w:tcPr>
          <w:p>
            <w:pPr>
              <w:snapToGrid w:val="0"/>
              <w:spacing w:line="400" w:lineRule="atLeast"/>
              <w:rPr>
                <w:sz w:val="21"/>
                <w:szCs w:val="21"/>
              </w:rPr>
            </w:pPr>
          </w:p>
        </w:tc>
        <w:tc>
          <w:tcPr>
            <w:tcW w:w="971" w:type="dxa"/>
          </w:tcPr>
          <w:p>
            <w:pPr>
              <w:snapToGrid w:val="0"/>
              <w:spacing w:line="400" w:lineRule="atLeast"/>
              <w:rPr>
                <w:sz w:val="21"/>
                <w:szCs w:val="21"/>
              </w:rPr>
            </w:pPr>
          </w:p>
        </w:tc>
        <w:tc>
          <w:tcPr>
            <w:tcW w:w="2047" w:type="dxa"/>
          </w:tcPr>
          <w:p>
            <w:pPr>
              <w:snapToGrid w:val="0"/>
              <w:spacing w:line="400" w:lineRule="atLeast"/>
              <w:rPr>
                <w:sz w:val="21"/>
                <w:szCs w:val="21"/>
              </w:rPr>
            </w:pPr>
          </w:p>
        </w:tc>
        <w:tc>
          <w:tcPr>
            <w:tcW w:w="1164" w:type="dxa"/>
          </w:tcPr>
          <w:p>
            <w:pPr>
              <w:snapToGrid w:val="0"/>
              <w:spacing w:line="400" w:lineRule="atLeast"/>
              <w:rPr>
                <w:sz w:val="21"/>
                <w:szCs w:val="21"/>
              </w:rPr>
            </w:pPr>
          </w:p>
        </w:tc>
        <w:tc>
          <w:tcPr>
            <w:tcW w:w="3987" w:type="dxa"/>
          </w:tcPr>
          <w:p>
            <w:pPr>
              <w:snapToGrid w:val="0"/>
              <w:spacing w:line="400" w:lineRule="atLeast"/>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6" w:type="dxa"/>
          </w:tcPr>
          <w:p>
            <w:pPr>
              <w:snapToGrid w:val="0"/>
              <w:spacing w:line="400" w:lineRule="atLeast"/>
              <w:rPr>
                <w:sz w:val="21"/>
                <w:szCs w:val="21"/>
              </w:rPr>
            </w:pPr>
          </w:p>
        </w:tc>
        <w:tc>
          <w:tcPr>
            <w:tcW w:w="971" w:type="dxa"/>
          </w:tcPr>
          <w:p>
            <w:pPr>
              <w:snapToGrid w:val="0"/>
              <w:spacing w:line="400" w:lineRule="atLeast"/>
              <w:rPr>
                <w:sz w:val="21"/>
                <w:szCs w:val="21"/>
              </w:rPr>
            </w:pPr>
          </w:p>
        </w:tc>
        <w:tc>
          <w:tcPr>
            <w:tcW w:w="2047" w:type="dxa"/>
          </w:tcPr>
          <w:p>
            <w:pPr>
              <w:snapToGrid w:val="0"/>
              <w:spacing w:line="400" w:lineRule="atLeast"/>
              <w:rPr>
                <w:sz w:val="21"/>
                <w:szCs w:val="21"/>
              </w:rPr>
            </w:pPr>
          </w:p>
        </w:tc>
        <w:tc>
          <w:tcPr>
            <w:tcW w:w="1164" w:type="dxa"/>
          </w:tcPr>
          <w:p>
            <w:pPr>
              <w:snapToGrid w:val="0"/>
              <w:spacing w:line="400" w:lineRule="atLeast"/>
              <w:rPr>
                <w:sz w:val="21"/>
                <w:szCs w:val="21"/>
              </w:rPr>
            </w:pPr>
          </w:p>
        </w:tc>
        <w:tc>
          <w:tcPr>
            <w:tcW w:w="3987" w:type="dxa"/>
          </w:tcPr>
          <w:p>
            <w:pPr>
              <w:snapToGrid w:val="0"/>
              <w:spacing w:line="400" w:lineRule="atLeast"/>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6" w:type="dxa"/>
          </w:tcPr>
          <w:p>
            <w:pPr>
              <w:snapToGrid w:val="0"/>
              <w:spacing w:line="400" w:lineRule="atLeast"/>
              <w:rPr>
                <w:sz w:val="21"/>
                <w:szCs w:val="21"/>
              </w:rPr>
            </w:pPr>
          </w:p>
        </w:tc>
        <w:tc>
          <w:tcPr>
            <w:tcW w:w="971" w:type="dxa"/>
          </w:tcPr>
          <w:p>
            <w:pPr>
              <w:snapToGrid w:val="0"/>
              <w:spacing w:line="400" w:lineRule="atLeast"/>
              <w:rPr>
                <w:sz w:val="21"/>
                <w:szCs w:val="21"/>
              </w:rPr>
            </w:pPr>
          </w:p>
        </w:tc>
        <w:tc>
          <w:tcPr>
            <w:tcW w:w="2047" w:type="dxa"/>
          </w:tcPr>
          <w:p>
            <w:pPr>
              <w:snapToGrid w:val="0"/>
              <w:spacing w:line="400" w:lineRule="atLeast"/>
              <w:rPr>
                <w:sz w:val="21"/>
                <w:szCs w:val="21"/>
              </w:rPr>
            </w:pPr>
          </w:p>
        </w:tc>
        <w:tc>
          <w:tcPr>
            <w:tcW w:w="1164" w:type="dxa"/>
          </w:tcPr>
          <w:p>
            <w:pPr>
              <w:snapToGrid w:val="0"/>
              <w:spacing w:line="400" w:lineRule="atLeast"/>
              <w:rPr>
                <w:sz w:val="21"/>
                <w:szCs w:val="21"/>
              </w:rPr>
            </w:pPr>
          </w:p>
        </w:tc>
        <w:tc>
          <w:tcPr>
            <w:tcW w:w="3987" w:type="dxa"/>
          </w:tcPr>
          <w:p>
            <w:pPr>
              <w:snapToGrid w:val="0"/>
              <w:spacing w:line="400" w:lineRule="atLeast"/>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6" w:type="dxa"/>
          </w:tcPr>
          <w:p>
            <w:pPr>
              <w:snapToGrid w:val="0"/>
              <w:spacing w:line="400" w:lineRule="atLeast"/>
              <w:rPr>
                <w:sz w:val="21"/>
                <w:szCs w:val="21"/>
              </w:rPr>
            </w:pPr>
          </w:p>
        </w:tc>
        <w:tc>
          <w:tcPr>
            <w:tcW w:w="971" w:type="dxa"/>
          </w:tcPr>
          <w:p>
            <w:pPr>
              <w:snapToGrid w:val="0"/>
              <w:spacing w:line="400" w:lineRule="atLeast"/>
              <w:rPr>
                <w:sz w:val="21"/>
                <w:szCs w:val="21"/>
              </w:rPr>
            </w:pPr>
          </w:p>
        </w:tc>
        <w:tc>
          <w:tcPr>
            <w:tcW w:w="2047" w:type="dxa"/>
          </w:tcPr>
          <w:p>
            <w:pPr>
              <w:snapToGrid w:val="0"/>
              <w:spacing w:line="400" w:lineRule="atLeast"/>
              <w:rPr>
                <w:sz w:val="21"/>
                <w:szCs w:val="21"/>
              </w:rPr>
            </w:pPr>
          </w:p>
        </w:tc>
        <w:tc>
          <w:tcPr>
            <w:tcW w:w="1164" w:type="dxa"/>
          </w:tcPr>
          <w:p>
            <w:pPr>
              <w:snapToGrid w:val="0"/>
              <w:spacing w:line="400" w:lineRule="atLeast"/>
              <w:rPr>
                <w:sz w:val="21"/>
                <w:szCs w:val="21"/>
              </w:rPr>
            </w:pPr>
          </w:p>
        </w:tc>
        <w:tc>
          <w:tcPr>
            <w:tcW w:w="3987" w:type="dxa"/>
          </w:tcPr>
          <w:p>
            <w:pPr>
              <w:snapToGrid w:val="0"/>
              <w:spacing w:line="400" w:lineRule="atLeast"/>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6" w:type="dxa"/>
          </w:tcPr>
          <w:p>
            <w:pPr>
              <w:snapToGrid w:val="0"/>
              <w:spacing w:line="400" w:lineRule="atLeast"/>
              <w:rPr>
                <w:sz w:val="21"/>
                <w:szCs w:val="21"/>
              </w:rPr>
            </w:pPr>
          </w:p>
        </w:tc>
        <w:tc>
          <w:tcPr>
            <w:tcW w:w="971" w:type="dxa"/>
          </w:tcPr>
          <w:p>
            <w:pPr>
              <w:snapToGrid w:val="0"/>
              <w:spacing w:line="400" w:lineRule="atLeast"/>
              <w:rPr>
                <w:sz w:val="21"/>
                <w:szCs w:val="21"/>
              </w:rPr>
            </w:pPr>
          </w:p>
        </w:tc>
        <w:tc>
          <w:tcPr>
            <w:tcW w:w="2047" w:type="dxa"/>
          </w:tcPr>
          <w:p>
            <w:pPr>
              <w:snapToGrid w:val="0"/>
              <w:spacing w:line="400" w:lineRule="atLeast"/>
              <w:rPr>
                <w:sz w:val="21"/>
                <w:szCs w:val="21"/>
              </w:rPr>
            </w:pPr>
          </w:p>
        </w:tc>
        <w:tc>
          <w:tcPr>
            <w:tcW w:w="1164" w:type="dxa"/>
          </w:tcPr>
          <w:p>
            <w:pPr>
              <w:snapToGrid w:val="0"/>
              <w:spacing w:line="400" w:lineRule="atLeast"/>
              <w:rPr>
                <w:sz w:val="21"/>
                <w:szCs w:val="21"/>
              </w:rPr>
            </w:pPr>
          </w:p>
        </w:tc>
        <w:tc>
          <w:tcPr>
            <w:tcW w:w="3987" w:type="dxa"/>
          </w:tcPr>
          <w:p>
            <w:pPr>
              <w:snapToGrid w:val="0"/>
              <w:spacing w:line="400" w:lineRule="atLeast"/>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6" w:type="dxa"/>
          </w:tcPr>
          <w:p>
            <w:pPr>
              <w:snapToGrid w:val="0"/>
              <w:spacing w:line="400" w:lineRule="atLeast"/>
              <w:rPr>
                <w:sz w:val="21"/>
                <w:szCs w:val="21"/>
              </w:rPr>
            </w:pPr>
          </w:p>
        </w:tc>
        <w:tc>
          <w:tcPr>
            <w:tcW w:w="971" w:type="dxa"/>
          </w:tcPr>
          <w:p>
            <w:pPr>
              <w:snapToGrid w:val="0"/>
              <w:spacing w:line="400" w:lineRule="atLeast"/>
              <w:rPr>
                <w:sz w:val="21"/>
                <w:szCs w:val="21"/>
              </w:rPr>
            </w:pPr>
          </w:p>
        </w:tc>
        <w:tc>
          <w:tcPr>
            <w:tcW w:w="2047" w:type="dxa"/>
          </w:tcPr>
          <w:p>
            <w:pPr>
              <w:snapToGrid w:val="0"/>
              <w:spacing w:line="400" w:lineRule="atLeast"/>
              <w:rPr>
                <w:sz w:val="21"/>
                <w:szCs w:val="21"/>
              </w:rPr>
            </w:pPr>
          </w:p>
        </w:tc>
        <w:tc>
          <w:tcPr>
            <w:tcW w:w="1164" w:type="dxa"/>
          </w:tcPr>
          <w:p>
            <w:pPr>
              <w:snapToGrid w:val="0"/>
              <w:spacing w:line="400" w:lineRule="atLeast"/>
              <w:rPr>
                <w:sz w:val="21"/>
                <w:szCs w:val="21"/>
              </w:rPr>
            </w:pPr>
          </w:p>
        </w:tc>
        <w:tc>
          <w:tcPr>
            <w:tcW w:w="3987" w:type="dxa"/>
          </w:tcPr>
          <w:p>
            <w:pPr>
              <w:snapToGrid w:val="0"/>
              <w:spacing w:line="400" w:lineRule="atLeast"/>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6" w:type="dxa"/>
          </w:tcPr>
          <w:p>
            <w:pPr>
              <w:snapToGrid w:val="0"/>
              <w:spacing w:line="400" w:lineRule="atLeast"/>
              <w:rPr>
                <w:sz w:val="21"/>
                <w:szCs w:val="21"/>
              </w:rPr>
            </w:pPr>
          </w:p>
        </w:tc>
        <w:tc>
          <w:tcPr>
            <w:tcW w:w="971" w:type="dxa"/>
          </w:tcPr>
          <w:p>
            <w:pPr>
              <w:snapToGrid w:val="0"/>
              <w:spacing w:line="400" w:lineRule="atLeast"/>
              <w:rPr>
                <w:sz w:val="21"/>
                <w:szCs w:val="21"/>
              </w:rPr>
            </w:pPr>
          </w:p>
        </w:tc>
        <w:tc>
          <w:tcPr>
            <w:tcW w:w="2047" w:type="dxa"/>
          </w:tcPr>
          <w:p>
            <w:pPr>
              <w:snapToGrid w:val="0"/>
              <w:spacing w:line="400" w:lineRule="atLeast"/>
              <w:rPr>
                <w:sz w:val="21"/>
                <w:szCs w:val="21"/>
              </w:rPr>
            </w:pPr>
          </w:p>
        </w:tc>
        <w:tc>
          <w:tcPr>
            <w:tcW w:w="1164" w:type="dxa"/>
          </w:tcPr>
          <w:p>
            <w:pPr>
              <w:snapToGrid w:val="0"/>
              <w:spacing w:line="400" w:lineRule="atLeast"/>
              <w:rPr>
                <w:sz w:val="21"/>
                <w:szCs w:val="21"/>
              </w:rPr>
            </w:pPr>
          </w:p>
        </w:tc>
        <w:tc>
          <w:tcPr>
            <w:tcW w:w="3987" w:type="dxa"/>
          </w:tcPr>
          <w:p>
            <w:pPr>
              <w:snapToGrid w:val="0"/>
              <w:spacing w:line="400" w:lineRule="atLeast"/>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6" w:type="dxa"/>
          </w:tcPr>
          <w:p>
            <w:pPr>
              <w:snapToGrid w:val="0"/>
              <w:spacing w:line="400" w:lineRule="atLeast"/>
              <w:rPr>
                <w:sz w:val="21"/>
                <w:szCs w:val="21"/>
              </w:rPr>
            </w:pPr>
          </w:p>
        </w:tc>
        <w:tc>
          <w:tcPr>
            <w:tcW w:w="971" w:type="dxa"/>
          </w:tcPr>
          <w:p>
            <w:pPr>
              <w:snapToGrid w:val="0"/>
              <w:spacing w:line="400" w:lineRule="atLeast"/>
              <w:rPr>
                <w:sz w:val="21"/>
                <w:szCs w:val="21"/>
              </w:rPr>
            </w:pPr>
          </w:p>
        </w:tc>
        <w:tc>
          <w:tcPr>
            <w:tcW w:w="2047" w:type="dxa"/>
          </w:tcPr>
          <w:p>
            <w:pPr>
              <w:snapToGrid w:val="0"/>
              <w:spacing w:line="400" w:lineRule="atLeast"/>
              <w:rPr>
                <w:sz w:val="21"/>
                <w:szCs w:val="21"/>
              </w:rPr>
            </w:pPr>
          </w:p>
        </w:tc>
        <w:tc>
          <w:tcPr>
            <w:tcW w:w="1164" w:type="dxa"/>
          </w:tcPr>
          <w:p>
            <w:pPr>
              <w:snapToGrid w:val="0"/>
              <w:spacing w:line="400" w:lineRule="atLeast"/>
              <w:rPr>
                <w:sz w:val="21"/>
                <w:szCs w:val="21"/>
              </w:rPr>
            </w:pPr>
          </w:p>
        </w:tc>
        <w:tc>
          <w:tcPr>
            <w:tcW w:w="3987" w:type="dxa"/>
          </w:tcPr>
          <w:p>
            <w:pPr>
              <w:snapToGrid w:val="0"/>
              <w:spacing w:line="400" w:lineRule="atLeast"/>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6" w:type="dxa"/>
          </w:tcPr>
          <w:p>
            <w:pPr>
              <w:snapToGrid w:val="0"/>
              <w:spacing w:line="400" w:lineRule="atLeast"/>
              <w:rPr>
                <w:sz w:val="21"/>
                <w:szCs w:val="21"/>
              </w:rPr>
            </w:pPr>
          </w:p>
        </w:tc>
        <w:tc>
          <w:tcPr>
            <w:tcW w:w="971" w:type="dxa"/>
          </w:tcPr>
          <w:p>
            <w:pPr>
              <w:snapToGrid w:val="0"/>
              <w:spacing w:line="400" w:lineRule="atLeast"/>
              <w:rPr>
                <w:sz w:val="21"/>
                <w:szCs w:val="21"/>
              </w:rPr>
            </w:pPr>
          </w:p>
        </w:tc>
        <w:tc>
          <w:tcPr>
            <w:tcW w:w="2047" w:type="dxa"/>
          </w:tcPr>
          <w:p>
            <w:pPr>
              <w:snapToGrid w:val="0"/>
              <w:spacing w:line="400" w:lineRule="atLeast"/>
              <w:rPr>
                <w:sz w:val="21"/>
                <w:szCs w:val="21"/>
              </w:rPr>
            </w:pPr>
          </w:p>
        </w:tc>
        <w:tc>
          <w:tcPr>
            <w:tcW w:w="1164" w:type="dxa"/>
          </w:tcPr>
          <w:p>
            <w:pPr>
              <w:snapToGrid w:val="0"/>
              <w:spacing w:line="400" w:lineRule="atLeast"/>
              <w:rPr>
                <w:sz w:val="21"/>
                <w:szCs w:val="21"/>
              </w:rPr>
            </w:pPr>
          </w:p>
        </w:tc>
        <w:tc>
          <w:tcPr>
            <w:tcW w:w="3987" w:type="dxa"/>
          </w:tcPr>
          <w:p>
            <w:pPr>
              <w:snapToGrid w:val="0"/>
              <w:spacing w:line="400" w:lineRule="atLeast"/>
              <w:rPr>
                <w:sz w:val="21"/>
                <w:szCs w:val="21"/>
              </w:rPr>
            </w:pPr>
          </w:p>
        </w:tc>
      </w:tr>
    </w:tbl>
    <w:p>
      <w:pPr>
        <w:snapToGrid w:val="0"/>
        <w:spacing w:line="400" w:lineRule="atLeast"/>
      </w:pPr>
    </w:p>
    <w:p>
      <w:pPr>
        <w:snapToGrid w:val="0"/>
        <w:spacing w:line="400" w:lineRule="atLeast"/>
      </w:pPr>
    </w:p>
    <w:p>
      <w:pPr>
        <w:snapToGrid w:val="0"/>
        <w:spacing w:line="400" w:lineRule="atLeast"/>
      </w:pPr>
    </w:p>
    <w:p>
      <w:pPr>
        <w:snapToGrid w:val="0"/>
        <w:spacing w:line="400" w:lineRule="atLeast"/>
      </w:pPr>
    </w:p>
    <w:p>
      <w:pPr>
        <w:snapToGrid w:val="0"/>
        <w:spacing w:line="400" w:lineRule="atLeast"/>
      </w:pPr>
    </w:p>
    <w:p>
      <w:pPr>
        <w:snapToGrid w:val="0"/>
        <w:spacing w:line="400" w:lineRule="atLeast"/>
      </w:pPr>
    </w:p>
    <w:p>
      <w:pPr>
        <w:snapToGrid w:val="0"/>
        <w:spacing w:line="400" w:lineRule="atLeast"/>
      </w:pPr>
    </w:p>
    <w:p>
      <w:pPr>
        <w:snapToGrid w:val="0"/>
        <w:spacing w:line="400" w:lineRule="atLeast"/>
      </w:pPr>
    </w:p>
    <w:p>
      <w:pPr>
        <w:snapToGrid w:val="0"/>
        <w:spacing w:line="400" w:lineRule="atLeast"/>
      </w:pPr>
    </w:p>
    <w:p>
      <w:pPr>
        <w:snapToGrid w:val="0"/>
        <w:spacing w:line="400" w:lineRule="atLeast"/>
      </w:pPr>
    </w:p>
    <w:p>
      <w:pPr>
        <w:snapToGrid w:val="0"/>
        <w:spacing w:line="400" w:lineRule="atLeast"/>
      </w:pPr>
    </w:p>
    <w:p>
      <w:pPr>
        <w:snapToGrid w:val="0"/>
        <w:spacing w:line="400" w:lineRule="atLeast"/>
      </w:pPr>
    </w:p>
    <w:p>
      <w:pPr>
        <w:snapToGrid w:val="0"/>
        <w:spacing w:line="400" w:lineRule="atLeast"/>
      </w:pPr>
    </w:p>
    <w:p>
      <w:pPr>
        <w:ind w:firstLine="420"/>
      </w:pPr>
    </w:p>
    <w:sectPr>
      <w:headerReference r:id="rId9" w:type="default"/>
      <w:footerReference r:id="rId10" w:type="default"/>
      <w:pgSz w:w="11907" w:h="16840"/>
      <w:pgMar w:top="1474" w:right="1134" w:bottom="1474" w:left="1814" w:header="851" w:footer="851" w:gutter="0"/>
      <w:pgNumType w:start="1"/>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RomanC">
    <w:altName w:val="Segoe Print"/>
    <w:panose1 w:val="00000400000000000000"/>
    <w:charset w:val="00"/>
    <w:family w:val="auto"/>
    <w:pitch w:val="default"/>
    <w:sig w:usb0="00000000" w:usb1="00000000" w:usb2="00000000" w:usb3="00000000" w:csb0="000001FF" w:csb1="00000000"/>
  </w:font>
  <w:font w:name="Arial">
    <w:panose1 w:val="020B0604020202020204"/>
    <w:charset w:val="00"/>
    <w:family w:val="swiss"/>
    <w:pitch w:val="default"/>
    <w:sig w:usb0="E0002AFF" w:usb1="C0007843" w:usb2="00000009" w:usb3="00000000" w:csb0="400001FF" w:csb1="FFFF0000"/>
  </w:font>
  <w:font w:name="Helv">
    <w:altName w:val="Segoe Print"/>
    <w:panose1 w:val="020B0604020202030204"/>
    <w:charset w:val="00"/>
    <w:family w:val="swiss"/>
    <w:pitch w:val="default"/>
    <w:sig w:usb0="00000000" w:usb1="00000000" w:usb2="00000000" w:usb3="00000000" w:csb0="00000001" w:csb1="00000000"/>
  </w:font>
  <w:font w:name="幼圆">
    <w:panose1 w:val="0201050906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Helvetica">
    <w:altName w:val="Arial"/>
    <w:panose1 w:val="020B060402020202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right" w:y="1"/>
      <w:rPr>
        <w:rStyle w:val="35"/>
      </w:rPr>
    </w:pPr>
    <w:r>
      <w:fldChar w:fldCharType="begin"/>
    </w:r>
    <w:r>
      <w:rPr>
        <w:rStyle w:val="35"/>
      </w:rPr>
      <w:instrText xml:space="preserve">PAGE  </w:instrText>
    </w:r>
    <w:r>
      <w:fldChar w:fldCharType="end"/>
    </w:r>
  </w:p>
  <w:p>
    <w:pPr>
      <w:pStyle w:val="2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right="90"/>
      <w:jc w:val="center"/>
    </w:pPr>
    <w:r>
      <w:fldChar w:fldCharType="begin"/>
    </w:r>
    <w:r>
      <w:rPr>
        <w:rStyle w:val="35"/>
      </w:rPr>
      <w:instrText xml:space="preserve"> PAGE </w:instrText>
    </w:r>
    <w:r>
      <w:fldChar w:fldCharType="separate"/>
    </w:r>
    <w:r>
      <w:rPr>
        <w:rStyle w:val="35"/>
      </w:rPr>
      <w:t>8</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1"/>
      </w:pBdr>
      <w:rPr>
        <w:sz w:val="21"/>
      </w:rPr>
    </w:pPr>
    <w:r>
      <w:rPr>
        <w:rFonts w:hint="eastAsia"/>
        <w:sz w:val="21"/>
      </w:rPr>
      <w:t>华能瑞金电厂新建工程2×350MW超临界机组烟气脱硫工程            斗式提升机技术规范书</w:t>
    </w:r>
  </w:p>
  <w:p>
    <w:pPr>
      <w:pStyle w:val="24"/>
      <w:pBdr>
        <w:bottom w:val="none" w:color="auto" w:sz="0" w:space="0"/>
      </w:pBdr>
      <w:rPr>
        <w:sz w:val="21"/>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left"/>
    </w:pPr>
    <w:r>
      <w:rPr>
        <w:rFonts w:hint="eastAsia"/>
      </w:rPr>
      <w:t>浙江嘉兴发电厂二期3×600MW火电机组送风机招标文件                             第三卷 附件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1"/>
      </w:pBdr>
      <w:rPr>
        <w:sz w:val="18"/>
        <w:szCs w:val="18"/>
      </w:rPr>
    </w:pPr>
    <w:r>
      <w:rPr>
        <w:rFonts w:hint="eastAsia"/>
        <w:sz w:val="18"/>
        <w:szCs w:val="18"/>
      </w:rPr>
      <w:t xml:space="preserve">华能平凉电厂氨改尿素项目             </w:t>
    </w:r>
    <w:r>
      <w:rPr>
        <w:sz w:val="18"/>
        <w:szCs w:val="18"/>
      </w:rPr>
      <w:t xml:space="preserve">                                        </w:t>
    </w:r>
    <w:r>
      <w:rPr>
        <w:rFonts w:hint="eastAsia"/>
        <w:sz w:val="18"/>
        <w:szCs w:val="18"/>
      </w:rPr>
      <w:t xml:space="preserve"> 斗式提升机技术规范书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20B8F"/>
    <w:multiLevelType w:val="singleLevel"/>
    <w:tmpl w:val="07F20B8F"/>
    <w:lvl w:ilvl="0" w:tentative="0">
      <w:start w:val="1"/>
      <w:numFmt w:val="decimal"/>
      <w:pStyle w:val="50"/>
      <w:lvlText w:val="%1."/>
      <w:lvlJc w:val="left"/>
      <w:pPr>
        <w:tabs>
          <w:tab w:val="left" w:pos="360"/>
        </w:tabs>
        <w:ind w:left="360" w:hanging="360"/>
      </w:pPr>
      <w:rPr>
        <w:rFonts w:hint="eastAsia"/>
      </w:rPr>
    </w:lvl>
  </w:abstractNum>
  <w:abstractNum w:abstractNumId="1">
    <w:nsid w:val="0A2730FE"/>
    <w:multiLevelType w:val="singleLevel"/>
    <w:tmpl w:val="0A2730FE"/>
    <w:lvl w:ilvl="0" w:tentative="0">
      <w:start w:val="1"/>
      <w:numFmt w:val="upperLetter"/>
      <w:pStyle w:val="7"/>
      <w:lvlText w:val="%1."/>
      <w:lvlJc w:val="left"/>
      <w:pPr>
        <w:tabs>
          <w:tab w:val="left" w:pos="425"/>
        </w:tabs>
        <w:ind w:left="425" w:hanging="425"/>
      </w:pPr>
    </w:lvl>
  </w:abstractNum>
  <w:abstractNum w:abstractNumId="2">
    <w:nsid w:val="100073C2"/>
    <w:multiLevelType w:val="multilevel"/>
    <w:tmpl w:val="100073C2"/>
    <w:lvl w:ilvl="0" w:tentative="0">
      <w:start w:val="5"/>
      <w:numFmt w:val="decimal"/>
      <w:lvlText w:val="%1"/>
      <w:lvlJc w:val="left"/>
      <w:pPr>
        <w:tabs>
          <w:tab w:val="left" w:pos="360"/>
        </w:tabs>
        <w:ind w:left="360" w:hanging="360"/>
      </w:pPr>
      <w:rPr>
        <w:rFonts w:hint="eastAsia"/>
      </w:rPr>
    </w:lvl>
    <w:lvl w:ilvl="1" w:tentative="0">
      <w:start w:val="1"/>
      <w:numFmt w:val="decimal"/>
      <w:lvlText w:val="7.%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default" w:ascii="Times New Roman" w:hAnsi="Times New Roman"/>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2160"/>
        </w:tabs>
        <w:ind w:left="2160" w:hanging="2160"/>
      </w:pPr>
      <w:rPr>
        <w:rFonts w:hint="eastAsia"/>
      </w:rPr>
    </w:lvl>
  </w:abstractNum>
  <w:abstractNum w:abstractNumId="3">
    <w:nsid w:val="13891484"/>
    <w:multiLevelType w:val="multilevel"/>
    <w:tmpl w:val="13891484"/>
    <w:lvl w:ilvl="0" w:tentative="0">
      <w:start w:val="5"/>
      <w:numFmt w:val="decimal"/>
      <w:lvlText w:val="%1"/>
      <w:lvlJc w:val="left"/>
      <w:pPr>
        <w:tabs>
          <w:tab w:val="left" w:pos="360"/>
        </w:tabs>
        <w:ind w:left="360" w:hanging="360"/>
      </w:pPr>
      <w:rPr>
        <w:rFonts w:hint="eastAsia"/>
      </w:rPr>
    </w:lvl>
    <w:lvl w:ilvl="1" w:tentative="0">
      <w:start w:val="1"/>
      <w:numFmt w:val="decimal"/>
      <w:lvlText w:val="8.%2"/>
      <w:lvlJc w:val="left"/>
      <w:pPr>
        <w:tabs>
          <w:tab w:val="left" w:pos="360"/>
        </w:tabs>
        <w:ind w:left="360" w:hanging="360"/>
      </w:pPr>
      <w:rPr>
        <w:rFonts w:hint="eastAsia"/>
        <w:sz w:val="28"/>
        <w:szCs w:val="28"/>
      </w:rPr>
    </w:lvl>
    <w:lvl w:ilvl="2" w:tentative="0">
      <w:start w:val="1"/>
      <w:numFmt w:val="none"/>
      <w:lvlText w:val="8.1.1"/>
      <w:lvlJc w:val="left"/>
      <w:pPr>
        <w:tabs>
          <w:tab w:val="left" w:pos="720"/>
        </w:tabs>
        <w:ind w:left="720" w:hanging="720"/>
      </w:pPr>
      <w:rPr>
        <w:rFonts w:hint="default" w:ascii="Times New Roman" w:hAnsi="Times New Roman"/>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2160"/>
        </w:tabs>
        <w:ind w:left="2160" w:hanging="2160"/>
      </w:pPr>
      <w:rPr>
        <w:rFonts w:hint="eastAsia"/>
      </w:rPr>
    </w:lvl>
  </w:abstractNum>
  <w:abstractNum w:abstractNumId="4">
    <w:nsid w:val="18634A69"/>
    <w:multiLevelType w:val="multilevel"/>
    <w:tmpl w:val="18634A69"/>
    <w:lvl w:ilvl="0" w:tentative="0">
      <w:start w:val="1"/>
      <w:numFmt w:val="bullet"/>
      <w:lvlText w:val=""/>
      <w:lvlJc w:val="left"/>
      <w:pPr>
        <w:tabs>
          <w:tab w:val="left" w:pos="1500"/>
        </w:tabs>
        <w:ind w:left="1500" w:hanging="420"/>
      </w:pPr>
      <w:rPr>
        <w:rFonts w:hint="default" w:ascii="Wingdings" w:hAnsi="Wingdings"/>
      </w:rPr>
    </w:lvl>
    <w:lvl w:ilvl="1" w:tentative="0">
      <w:start w:val="1"/>
      <w:numFmt w:val="bullet"/>
      <w:lvlText w:val=""/>
      <w:lvlJc w:val="left"/>
      <w:pPr>
        <w:tabs>
          <w:tab w:val="left" w:pos="1920"/>
        </w:tabs>
        <w:ind w:left="1920" w:hanging="420"/>
      </w:pPr>
      <w:rPr>
        <w:rFonts w:hint="default" w:ascii="Wingdings" w:hAnsi="Wingdings"/>
      </w:rPr>
    </w:lvl>
    <w:lvl w:ilvl="2" w:tentative="0">
      <w:start w:val="1"/>
      <w:numFmt w:val="bullet"/>
      <w:lvlText w:val=""/>
      <w:lvlJc w:val="left"/>
      <w:pPr>
        <w:tabs>
          <w:tab w:val="left" w:pos="2340"/>
        </w:tabs>
        <w:ind w:left="2340" w:hanging="420"/>
      </w:pPr>
      <w:rPr>
        <w:rFonts w:hint="default" w:ascii="Wingdings" w:hAnsi="Wingdings"/>
      </w:rPr>
    </w:lvl>
    <w:lvl w:ilvl="3" w:tentative="0">
      <w:start w:val="1"/>
      <w:numFmt w:val="bullet"/>
      <w:lvlText w:val=""/>
      <w:lvlJc w:val="left"/>
      <w:pPr>
        <w:tabs>
          <w:tab w:val="left" w:pos="2760"/>
        </w:tabs>
        <w:ind w:left="2760" w:hanging="420"/>
      </w:pPr>
      <w:rPr>
        <w:rFonts w:hint="default" w:ascii="Wingdings" w:hAnsi="Wingdings"/>
      </w:rPr>
    </w:lvl>
    <w:lvl w:ilvl="4" w:tentative="0">
      <w:start w:val="1"/>
      <w:numFmt w:val="bullet"/>
      <w:lvlText w:val=""/>
      <w:lvlJc w:val="left"/>
      <w:pPr>
        <w:tabs>
          <w:tab w:val="left" w:pos="3180"/>
        </w:tabs>
        <w:ind w:left="3180" w:hanging="420"/>
      </w:pPr>
      <w:rPr>
        <w:rFonts w:hint="default" w:ascii="Wingdings" w:hAnsi="Wingdings"/>
      </w:rPr>
    </w:lvl>
    <w:lvl w:ilvl="5" w:tentative="0">
      <w:start w:val="1"/>
      <w:numFmt w:val="bullet"/>
      <w:lvlText w:val=""/>
      <w:lvlJc w:val="left"/>
      <w:pPr>
        <w:tabs>
          <w:tab w:val="left" w:pos="3600"/>
        </w:tabs>
        <w:ind w:left="3600" w:hanging="420"/>
      </w:pPr>
      <w:rPr>
        <w:rFonts w:hint="default" w:ascii="Wingdings" w:hAnsi="Wingdings"/>
      </w:rPr>
    </w:lvl>
    <w:lvl w:ilvl="6" w:tentative="0">
      <w:start w:val="1"/>
      <w:numFmt w:val="bullet"/>
      <w:lvlText w:val=""/>
      <w:lvlJc w:val="left"/>
      <w:pPr>
        <w:tabs>
          <w:tab w:val="left" w:pos="4020"/>
        </w:tabs>
        <w:ind w:left="4020" w:hanging="420"/>
      </w:pPr>
      <w:rPr>
        <w:rFonts w:hint="default" w:ascii="Wingdings" w:hAnsi="Wingdings"/>
      </w:rPr>
    </w:lvl>
    <w:lvl w:ilvl="7" w:tentative="0">
      <w:start w:val="1"/>
      <w:numFmt w:val="bullet"/>
      <w:lvlText w:val=""/>
      <w:lvlJc w:val="left"/>
      <w:pPr>
        <w:tabs>
          <w:tab w:val="left" w:pos="4440"/>
        </w:tabs>
        <w:ind w:left="4440" w:hanging="420"/>
      </w:pPr>
      <w:rPr>
        <w:rFonts w:hint="default" w:ascii="Wingdings" w:hAnsi="Wingdings"/>
      </w:rPr>
    </w:lvl>
    <w:lvl w:ilvl="8" w:tentative="0">
      <w:start w:val="1"/>
      <w:numFmt w:val="bullet"/>
      <w:lvlText w:val=""/>
      <w:lvlJc w:val="left"/>
      <w:pPr>
        <w:tabs>
          <w:tab w:val="left" w:pos="4860"/>
        </w:tabs>
        <w:ind w:left="4860" w:hanging="420"/>
      </w:pPr>
      <w:rPr>
        <w:rFonts w:hint="default" w:ascii="Wingdings" w:hAnsi="Wingdings"/>
      </w:rPr>
    </w:lvl>
  </w:abstractNum>
  <w:abstractNum w:abstractNumId="5">
    <w:nsid w:val="2CB7316E"/>
    <w:multiLevelType w:val="multilevel"/>
    <w:tmpl w:val="2CB7316E"/>
    <w:lvl w:ilvl="0" w:tentative="0">
      <w:start w:val="5"/>
      <w:numFmt w:val="decimal"/>
      <w:lvlText w:val="%1"/>
      <w:lvlJc w:val="left"/>
      <w:pPr>
        <w:tabs>
          <w:tab w:val="left" w:pos="360"/>
        </w:tabs>
        <w:ind w:left="360" w:hanging="360"/>
      </w:pPr>
      <w:rPr>
        <w:rFonts w:hint="eastAsia"/>
      </w:rPr>
    </w:lvl>
    <w:lvl w:ilvl="1" w:tentative="0">
      <w:start w:val="1"/>
      <w:numFmt w:val="decimal"/>
      <w:lvlText w:val="6.%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default" w:ascii="Times New Roman" w:hAnsi="Times New Roman"/>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2160"/>
        </w:tabs>
        <w:ind w:left="2160" w:hanging="2160"/>
      </w:pPr>
      <w:rPr>
        <w:rFonts w:hint="eastAsia"/>
      </w:rPr>
    </w:lvl>
  </w:abstractNum>
  <w:abstractNum w:abstractNumId="6">
    <w:nsid w:val="2D4F6DAE"/>
    <w:multiLevelType w:val="singleLevel"/>
    <w:tmpl w:val="2D4F6DAE"/>
    <w:lvl w:ilvl="0" w:tentative="0">
      <w:start w:val="1"/>
      <w:numFmt w:val="upperLetter"/>
      <w:pStyle w:val="8"/>
      <w:lvlText w:val="%1."/>
      <w:lvlJc w:val="left"/>
      <w:pPr>
        <w:tabs>
          <w:tab w:val="left" w:pos="425"/>
        </w:tabs>
        <w:ind w:left="425" w:hanging="425"/>
      </w:pPr>
    </w:lvl>
  </w:abstractNum>
  <w:abstractNum w:abstractNumId="7">
    <w:nsid w:val="338A75B4"/>
    <w:multiLevelType w:val="multilevel"/>
    <w:tmpl w:val="338A75B4"/>
    <w:lvl w:ilvl="0" w:tentative="0">
      <w:start w:val="6"/>
      <w:numFmt w:val="decimal"/>
      <w:lvlText w:val="%1"/>
      <w:lvlJc w:val="left"/>
      <w:pPr>
        <w:tabs>
          <w:tab w:val="left" w:pos="360"/>
        </w:tabs>
        <w:ind w:left="360" w:hanging="360"/>
      </w:pPr>
      <w:rPr>
        <w:rFonts w:hint="eastAsia"/>
      </w:rPr>
    </w:lvl>
    <w:lvl w:ilvl="1" w:tentative="0">
      <w:start w:val="1"/>
      <w:numFmt w:val="decimal"/>
      <w:lvlText w:val="9.%2"/>
      <w:lvlJc w:val="left"/>
      <w:pPr>
        <w:tabs>
          <w:tab w:val="left" w:pos="360"/>
        </w:tabs>
        <w:ind w:left="360" w:hanging="360"/>
      </w:pPr>
      <w:rPr>
        <w:rFonts w:hint="eastAsia"/>
      </w:rPr>
    </w:lvl>
    <w:lvl w:ilvl="2" w:tentative="0">
      <w:start w:val="1"/>
      <w:numFmt w:val="bullet"/>
      <w:lvlText w:val=""/>
      <w:lvlJc w:val="left"/>
      <w:pPr>
        <w:tabs>
          <w:tab w:val="left" w:pos="420"/>
        </w:tabs>
        <w:ind w:left="420" w:hanging="420"/>
      </w:pPr>
      <w:rPr>
        <w:rFonts w:hint="default" w:ascii="Wingdings" w:hAnsi="Wingdings"/>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2160"/>
        </w:tabs>
        <w:ind w:left="2160" w:hanging="2160"/>
      </w:pPr>
      <w:rPr>
        <w:rFonts w:hint="eastAsia"/>
      </w:rPr>
    </w:lvl>
  </w:abstractNum>
  <w:abstractNum w:abstractNumId="8">
    <w:nsid w:val="41743A33"/>
    <w:multiLevelType w:val="multilevel"/>
    <w:tmpl w:val="41743A33"/>
    <w:lvl w:ilvl="0" w:tentative="0">
      <w:start w:val="6"/>
      <w:numFmt w:val="decimal"/>
      <w:lvlText w:val="%1"/>
      <w:lvlJc w:val="left"/>
      <w:pPr>
        <w:tabs>
          <w:tab w:val="left" w:pos="360"/>
        </w:tabs>
        <w:ind w:left="360" w:hanging="360"/>
      </w:pPr>
      <w:rPr>
        <w:rFonts w:hint="eastAsia"/>
      </w:rPr>
    </w:lvl>
    <w:lvl w:ilvl="1" w:tentative="0">
      <w:start w:val="1"/>
      <w:numFmt w:val="decimal"/>
      <w:lvlText w:val="9.%2"/>
      <w:lvlJc w:val="left"/>
      <w:pPr>
        <w:tabs>
          <w:tab w:val="left" w:pos="360"/>
        </w:tabs>
        <w:ind w:left="360" w:hanging="360"/>
      </w:pPr>
      <w:rPr>
        <w:rFonts w:hint="eastAsia"/>
      </w:rPr>
    </w:lvl>
    <w:lvl w:ilvl="2" w:tentative="0">
      <w:start w:val="1"/>
      <w:numFmt w:val="bullet"/>
      <w:lvlText w:val=""/>
      <w:lvlJc w:val="left"/>
      <w:pPr>
        <w:tabs>
          <w:tab w:val="left" w:pos="420"/>
        </w:tabs>
        <w:ind w:left="420" w:hanging="420"/>
      </w:pPr>
      <w:rPr>
        <w:rFonts w:hint="default" w:ascii="Wingdings" w:hAnsi="Wingdings"/>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2160"/>
        </w:tabs>
        <w:ind w:left="2160" w:hanging="2160"/>
      </w:pPr>
      <w:rPr>
        <w:rFonts w:hint="eastAsia"/>
      </w:rPr>
    </w:lvl>
  </w:abstractNum>
  <w:abstractNum w:abstractNumId="9">
    <w:nsid w:val="58A87B9C"/>
    <w:multiLevelType w:val="multilevel"/>
    <w:tmpl w:val="58A87B9C"/>
    <w:lvl w:ilvl="0" w:tentative="0">
      <w:start w:val="1"/>
      <w:numFmt w:val="decimal"/>
      <w:suff w:val="nothing"/>
      <w:lvlText w:val="%1."/>
      <w:lvlJc w:val="left"/>
      <w:rPr>
        <w:rFonts w:hint="eastAsia"/>
      </w:rPr>
    </w:lvl>
    <w:lvl w:ilvl="1" w:tentative="0">
      <w:start w:val="1"/>
      <w:numFmt w:val="decimal"/>
      <w:suff w:val="nothing"/>
      <w:lvlText w:val="%1.%2"/>
      <w:lvlJc w:val="left"/>
      <w:rPr>
        <w:rFonts w:hint="eastAsia"/>
      </w:rPr>
    </w:lvl>
    <w:lvl w:ilvl="2" w:tentative="0">
      <w:start w:val="1"/>
      <w:numFmt w:val="chineseCountingThousand"/>
      <w:suff w:val="nothing"/>
      <w:lvlText w:val="附件%3："/>
      <w:lvlJc w:val="left"/>
      <w:rPr>
        <w:rFonts w:hint="eastAsia"/>
      </w:rPr>
    </w:lvl>
    <w:lvl w:ilvl="3" w:tentative="0">
      <w:start w:val="1"/>
      <w:numFmt w:val="decimal"/>
      <w:suff w:val="nothing"/>
      <w:lvlText w:val="%4."/>
      <w:lvlJc w:val="left"/>
      <w:rPr>
        <w:rFonts w:hint="eastAsia"/>
      </w:rPr>
    </w:lvl>
    <w:lvl w:ilvl="4" w:tentative="0">
      <w:start w:val="1"/>
      <w:numFmt w:val="decimal"/>
      <w:suff w:val="nothing"/>
      <w:lvlText w:val="%4.%5"/>
      <w:lvlJc w:val="left"/>
      <w:rPr>
        <w:rFonts w:hint="eastAsia"/>
      </w:rPr>
    </w:lvl>
    <w:lvl w:ilvl="5" w:tentative="0">
      <w:start w:val="1"/>
      <w:numFmt w:val="none"/>
      <w:suff w:val="nothing"/>
      <w:lvlText w:val=""/>
      <w:lvlJc w:val="left"/>
      <w:rPr>
        <w:rFonts w:hint="eastAsia"/>
      </w:rPr>
    </w:lvl>
    <w:lvl w:ilvl="6" w:tentative="0">
      <w:start w:val="1"/>
      <w:numFmt w:val="none"/>
      <w:pStyle w:val="9"/>
      <w:suff w:val="nothing"/>
      <w:lvlText w:val=""/>
      <w:lvlJc w:val="left"/>
      <w:rPr>
        <w:rFonts w:hint="eastAsia"/>
      </w:rPr>
    </w:lvl>
    <w:lvl w:ilvl="7" w:tentative="0">
      <w:start w:val="1"/>
      <w:numFmt w:val="none"/>
      <w:pStyle w:val="10"/>
      <w:suff w:val="nothing"/>
      <w:lvlText w:val=""/>
      <w:lvlJc w:val="left"/>
      <w:rPr>
        <w:rFonts w:hint="eastAsia"/>
      </w:rPr>
    </w:lvl>
    <w:lvl w:ilvl="8" w:tentative="0">
      <w:start w:val="1"/>
      <w:numFmt w:val="none"/>
      <w:pStyle w:val="11"/>
      <w:suff w:val="nothing"/>
      <w:lvlText w:val=""/>
      <w:lvlJc w:val="left"/>
      <w:rPr>
        <w:rFonts w:hint="eastAsia"/>
      </w:rPr>
    </w:lvl>
  </w:abstractNum>
  <w:abstractNum w:abstractNumId="10">
    <w:nsid w:val="62BD2F3F"/>
    <w:multiLevelType w:val="singleLevel"/>
    <w:tmpl w:val="62BD2F3F"/>
    <w:lvl w:ilvl="0" w:tentative="0">
      <w:start w:val="1"/>
      <w:numFmt w:val="bullet"/>
      <w:pStyle w:val="90"/>
      <w:lvlText w:val=""/>
      <w:lvlJc w:val="left"/>
      <w:pPr>
        <w:tabs>
          <w:tab w:val="left" w:pos="1551"/>
        </w:tabs>
        <w:ind w:left="1474" w:hanging="283"/>
      </w:pPr>
      <w:rPr>
        <w:rFonts w:hint="default" w:ascii="Symbol" w:hAnsi="Symbol"/>
        <w:color w:val="auto"/>
      </w:rPr>
    </w:lvl>
  </w:abstractNum>
  <w:abstractNum w:abstractNumId="11">
    <w:nsid w:val="6DB9125E"/>
    <w:multiLevelType w:val="multilevel"/>
    <w:tmpl w:val="6DB9125E"/>
    <w:lvl w:ilvl="0" w:tentative="0">
      <w:start w:val="6"/>
      <w:numFmt w:val="decimal"/>
      <w:lvlText w:val="%1"/>
      <w:lvlJc w:val="left"/>
      <w:pPr>
        <w:tabs>
          <w:tab w:val="left" w:pos="360"/>
        </w:tabs>
        <w:ind w:left="360" w:hanging="360"/>
      </w:pPr>
      <w:rPr>
        <w:rFonts w:hint="eastAsia"/>
      </w:rPr>
    </w:lvl>
    <w:lvl w:ilvl="1" w:tentative="0">
      <w:start w:val="1"/>
      <w:numFmt w:val="decimal"/>
      <w:lvlText w:val="9.%2"/>
      <w:lvlJc w:val="left"/>
      <w:pPr>
        <w:tabs>
          <w:tab w:val="left" w:pos="360"/>
        </w:tabs>
        <w:ind w:left="360" w:hanging="360"/>
      </w:pPr>
      <w:rPr>
        <w:rFonts w:hint="eastAsia"/>
      </w:rPr>
    </w:lvl>
    <w:lvl w:ilvl="2" w:tentative="0">
      <w:start w:val="1"/>
      <w:numFmt w:val="bullet"/>
      <w:lvlText w:val=""/>
      <w:lvlJc w:val="left"/>
      <w:pPr>
        <w:tabs>
          <w:tab w:val="left" w:pos="420"/>
        </w:tabs>
        <w:ind w:left="420" w:hanging="420"/>
      </w:pPr>
      <w:rPr>
        <w:rFonts w:hint="default" w:ascii="Wingdings" w:hAnsi="Wingdings"/>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2160"/>
        </w:tabs>
        <w:ind w:left="2160" w:hanging="2160"/>
      </w:pPr>
      <w:rPr>
        <w:rFonts w:hint="eastAsia"/>
      </w:rPr>
    </w:lvl>
  </w:abstractNum>
  <w:abstractNum w:abstractNumId="12">
    <w:nsid w:val="71227BD6"/>
    <w:multiLevelType w:val="multilevel"/>
    <w:tmpl w:val="71227BD6"/>
    <w:lvl w:ilvl="0" w:tentative="0">
      <w:start w:val="1"/>
      <w:numFmt w:val="decimal"/>
      <w:lvlText w:val="%1)"/>
      <w:lvlJc w:val="left"/>
      <w:pPr>
        <w:tabs>
          <w:tab w:val="left" w:pos="1680"/>
        </w:tabs>
        <w:ind w:left="168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74F53DD4"/>
    <w:multiLevelType w:val="multilevel"/>
    <w:tmpl w:val="74F53DD4"/>
    <w:lvl w:ilvl="0" w:tentative="0">
      <w:start w:val="0"/>
      <w:numFmt w:val="decimal"/>
      <w:pStyle w:val="5"/>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num w:numId="1">
    <w:abstractNumId w:val="13"/>
  </w:num>
  <w:num w:numId="2">
    <w:abstractNumId w:val="1"/>
  </w:num>
  <w:num w:numId="3">
    <w:abstractNumId w:val="6"/>
  </w:num>
  <w:num w:numId="4">
    <w:abstractNumId w:val="9"/>
  </w:num>
  <w:num w:numId="5">
    <w:abstractNumId w:val="0"/>
  </w:num>
  <w:num w:numId="6">
    <w:abstractNumId w:val="10"/>
  </w:num>
  <w:num w:numId="7">
    <w:abstractNumId w:val="4"/>
  </w:num>
  <w:num w:numId="8">
    <w:abstractNumId w:val="5"/>
  </w:num>
  <w:num w:numId="9">
    <w:abstractNumId w:val="2"/>
  </w:num>
  <w:num w:numId="10">
    <w:abstractNumId w:val="12"/>
  </w:num>
  <w:num w:numId="11">
    <w:abstractNumId w:val="3"/>
  </w:num>
  <w:num w:numId="12">
    <w:abstractNumId w:val="11"/>
  </w:num>
  <w:num w:numId="13">
    <w:abstractNumId w:val="7"/>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2"/>
  </w:compat>
  <w:rsids>
    <w:rsidRoot w:val="00172A27"/>
    <w:rsid w:val="00172A27"/>
    <w:rsid w:val="00183304"/>
    <w:rsid w:val="001D2877"/>
    <w:rsid w:val="002821D9"/>
    <w:rsid w:val="00361A8A"/>
    <w:rsid w:val="00466C5D"/>
    <w:rsid w:val="00530C4B"/>
    <w:rsid w:val="00592661"/>
    <w:rsid w:val="0079221E"/>
    <w:rsid w:val="007B1DC4"/>
    <w:rsid w:val="007D187B"/>
    <w:rsid w:val="007D4B0B"/>
    <w:rsid w:val="00AF3A0B"/>
    <w:rsid w:val="00B71265"/>
    <w:rsid w:val="00BE3047"/>
    <w:rsid w:val="00C8192B"/>
    <w:rsid w:val="00CB118D"/>
    <w:rsid w:val="00CE0292"/>
    <w:rsid w:val="00D86719"/>
    <w:rsid w:val="00EA6A25"/>
    <w:rsid w:val="00F854F3"/>
    <w:rsid w:val="00FA5B97"/>
    <w:rsid w:val="786513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name="toc 2"/>
    <w:lsdException w:unhideWhenUsed="0" w:uiPriority="0" w:name="toc 3"/>
    <w:lsdException w:unhideWhenUsed="0" w:uiPriority="0" w:name="toc 4"/>
    <w:lsdException w:unhideWhenUsed="0" w:uiPriority="0" w:name="toc 5"/>
    <w:lsdException w:unhideWhenUsed="0" w:uiPriority="0" w:name="toc 6"/>
    <w:lsdException w:unhideWhenUsed="0" w:uiPriority="0" w:name="toc 7"/>
    <w:lsdException w:unhideWhenUsed="0" w:uiPriority="0" w:name="toc 8"/>
    <w:lsdException w:unhideWhenUsed="0" w:uiPriority="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adjustRightInd w:val="0"/>
      <w:spacing w:line="360" w:lineRule="auto"/>
      <w:textAlignment w:val="baseline"/>
      <w:outlineLvl w:val="0"/>
    </w:pPr>
    <w:rPr>
      <w:rFonts w:ascii="宋体"/>
      <w:b/>
      <w:kern w:val="44"/>
      <w:sz w:val="32"/>
      <w:szCs w:val="20"/>
    </w:rPr>
  </w:style>
  <w:style w:type="paragraph" w:styleId="3">
    <w:name w:val="heading 2"/>
    <w:basedOn w:val="1"/>
    <w:next w:val="1"/>
    <w:qFormat/>
    <w:uiPriority w:val="0"/>
    <w:pPr>
      <w:keepNext/>
      <w:keepLines/>
      <w:adjustRightInd w:val="0"/>
      <w:spacing w:before="260" w:after="260" w:line="416" w:lineRule="atLeast"/>
      <w:textAlignment w:val="baseline"/>
      <w:outlineLvl w:val="1"/>
    </w:pPr>
    <w:rPr>
      <w:rFonts w:ascii="宋体"/>
      <w:b/>
      <w:kern w:val="44"/>
      <w:sz w:val="28"/>
      <w:szCs w:val="20"/>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6"/>
    <w:qFormat/>
    <w:uiPriority w:val="0"/>
    <w:pPr>
      <w:keepNext/>
      <w:numPr>
        <w:ilvl w:val="0"/>
        <w:numId w:val="1"/>
      </w:numPr>
      <w:adjustRightInd w:val="0"/>
      <w:spacing w:line="360" w:lineRule="auto"/>
      <w:ind w:left="454"/>
      <w:jc w:val="left"/>
      <w:textAlignment w:val="baseline"/>
      <w:outlineLvl w:val="3"/>
    </w:pPr>
    <w:rPr>
      <w:rFonts w:ascii="宋体"/>
      <w:i/>
      <w:kern w:val="0"/>
      <w:szCs w:val="20"/>
    </w:rPr>
  </w:style>
  <w:style w:type="paragraph" w:styleId="7">
    <w:name w:val="heading 5"/>
    <w:basedOn w:val="1"/>
    <w:next w:val="6"/>
    <w:qFormat/>
    <w:uiPriority w:val="0"/>
    <w:pPr>
      <w:keepNext/>
      <w:numPr>
        <w:ilvl w:val="0"/>
        <w:numId w:val="2"/>
      </w:numPr>
      <w:spacing w:line="480" w:lineRule="atLeast"/>
      <w:ind w:hanging="5"/>
      <w:outlineLvl w:val="4"/>
    </w:pPr>
    <w:rPr>
      <w:rFonts w:ascii="仿宋_GB2312" w:hAnsi="RomanC" w:eastAsia="仿宋_GB2312"/>
      <w:color w:val="000000"/>
      <w:szCs w:val="20"/>
      <w:u w:val="single"/>
    </w:rPr>
  </w:style>
  <w:style w:type="paragraph" w:styleId="8">
    <w:name w:val="heading 6"/>
    <w:basedOn w:val="1"/>
    <w:next w:val="6"/>
    <w:qFormat/>
    <w:uiPriority w:val="0"/>
    <w:pPr>
      <w:keepNext/>
      <w:numPr>
        <w:ilvl w:val="0"/>
        <w:numId w:val="3"/>
      </w:numPr>
      <w:tabs>
        <w:tab w:val="clear" w:pos="425"/>
      </w:tabs>
      <w:spacing w:line="480" w:lineRule="atLeast"/>
      <w:ind w:left="630" w:hanging="210"/>
      <w:outlineLvl w:val="5"/>
    </w:pPr>
    <w:rPr>
      <w:rFonts w:ascii="仿宋_GB2312" w:hAnsi="RomanC" w:eastAsia="仿宋_GB2312"/>
      <w:color w:val="FF0000"/>
      <w:szCs w:val="20"/>
      <w:u w:val="single"/>
    </w:rPr>
  </w:style>
  <w:style w:type="paragraph" w:styleId="9">
    <w:name w:val="heading 7"/>
    <w:basedOn w:val="1"/>
    <w:next w:val="6"/>
    <w:qFormat/>
    <w:uiPriority w:val="0"/>
    <w:pPr>
      <w:keepNext/>
      <w:keepLines/>
      <w:numPr>
        <w:ilvl w:val="6"/>
        <w:numId w:val="4"/>
      </w:numPr>
      <w:spacing w:before="240" w:after="64" w:line="320" w:lineRule="auto"/>
      <w:outlineLvl w:val="6"/>
    </w:pPr>
    <w:rPr>
      <w:rFonts w:ascii="宋体"/>
      <w:szCs w:val="20"/>
    </w:rPr>
  </w:style>
  <w:style w:type="paragraph" w:styleId="10">
    <w:name w:val="heading 8"/>
    <w:basedOn w:val="1"/>
    <w:next w:val="6"/>
    <w:qFormat/>
    <w:uiPriority w:val="0"/>
    <w:pPr>
      <w:keepNext/>
      <w:keepLines/>
      <w:numPr>
        <w:ilvl w:val="7"/>
        <w:numId w:val="4"/>
      </w:numPr>
      <w:spacing w:before="240" w:after="64" w:line="320" w:lineRule="auto"/>
      <w:outlineLvl w:val="7"/>
    </w:pPr>
    <w:rPr>
      <w:rFonts w:ascii="Arial" w:hAnsi="Arial" w:eastAsia="黑体"/>
      <w:b/>
      <w:szCs w:val="20"/>
    </w:rPr>
  </w:style>
  <w:style w:type="paragraph" w:styleId="11">
    <w:name w:val="heading 9"/>
    <w:basedOn w:val="1"/>
    <w:next w:val="6"/>
    <w:qFormat/>
    <w:uiPriority w:val="0"/>
    <w:pPr>
      <w:keepNext/>
      <w:keepLines/>
      <w:numPr>
        <w:ilvl w:val="8"/>
        <w:numId w:val="4"/>
      </w:numPr>
      <w:spacing w:before="240" w:after="64" w:line="320" w:lineRule="auto"/>
      <w:outlineLvl w:val="8"/>
    </w:pPr>
    <w:rPr>
      <w:rFonts w:ascii="Arial" w:hAnsi="Arial" w:eastAsia="黑体"/>
      <w:b/>
      <w:szCs w:val="20"/>
    </w:rPr>
  </w:style>
  <w:style w:type="character" w:default="1" w:styleId="34">
    <w:name w:val="Default Paragraph Font"/>
    <w:semiHidden/>
    <w:unhideWhenUsed/>
    <w:uiPriority w:val="1"/>
  </w:style>
  <w:style w:type="table" w:default="1" w:styleId="33">
    <w:name w:val="Normal Table"/>
    <w:semiHidden/>
    <w:unhideWhenUsed/>
    <w:uiPriority w:val="99"/>
    <w:tblPr>
      <w:tblCellMar>
        <w:top w:w="0" w:type="dxa"/>
        <w:left w:w="108" w:type="dxa"/>
        <w:bottom w:w="0" w:type="dxa"/>
        <w:right w:w="108" w:type="dxa"/>
      </w:tblCellMar>
    </w:tblPr>
  </w:style>
  <w:style w:type="paragraph" w:styleId="6">
    <w:name w:val="Normal Indent"/>
    <w:basedOn w:val="1"/>
    <w:uiPriority w:val="0"/>
    <w:pPr>
      <w:adjustRightInd w:val="0"/>
      <w:spacing w:line="360" w:lineRule="atLeast"/>
      <w:ind w:firstLine="420"/>
      <w:jc w:val="left"/>
      <w:textAlignment w:val="baseline"/>
    </w:pPr>
    <w:rPr>
      <w:kern w:val="0"/>
      <w:szCs w:val="20"/>
    </w:rPr>
  </w:style>
  <w:style w:type="paragraph" w:styleId="12">
    <w:name w:val="toc 7"/>
    <w:basedOn w:val="1"/>
    <w:next w:val="1"/>
    <w:semiHidden/>
    <w:uiPriority w:val="0"/>
    <w:pPr>
      <w:ind w:left="2520" w:leftChars="1200"/>
    </w:pPr>
  </w:style>
  <w:style w:type="paragraph" w:styleId="13">
    <w:name w:val="Body Text"/>
    <w:basedOn w:val="1"/>
    <w:uiPriority w:val="0"/>
    <w:rPr>
      <w:szCs w:val="20"/>
    </w:rPr>
  </w:style>
  <w:style w:type="paragraph" w:styleId="14">
    <w:name w:val="Body Text Indent"/>
    <w:basedOn w:val="1"/>
    <w:uiPriority w:val="0"/>
    <w:pPr>
      <w:ind w:firstLine="567"/>
    </w:pPr>
    <w:rPr>
      <w:sz w:val="28"/>
      <w:szCs w:val="20"/>
    </w:rPr>
  </w:style>
  <w:style w:type="paragraph" w:styleId="15">
    <w:name w:val="Block Text"/>
    <w:basedOn w:val="1"/>
    <w:uiPriority w:val="0"/>
    <w:pPr>
      <w:spacing w:before="120" w:after="120" w:line="360" w:lineRule="auto"/>
      <w:ind w:left="630" w:right="202"/>
    </w:pPr>
    <w:rPr>
      <w:rFonts w:ascii="宋体"/>
      <w:szCs w:val="20"/>
    </w:rPr>
  </w:style>
  <w:style w:type="paragraph" w:styleId="16">
    <w:name w:val="toc 5"/>
    <w:basedOn w:val="1"/>
    <w:next w:val="1"/>
    <w:semiHidden/>
    <w:uiPriority w:val="0"/>
    <w:pPr>
      <w:ind w:left="1680" w:leftChars="800"/>
    </w:pPr>
  </w:style>
  <w:style w:type="paragraph" w:styleId="17">
    <w:name w:val="toc 3"/>
    <w:basedOn w:val="1"/>
    <w:next w:val="1"/>
    <w:semiHidden/>
    <w:uiPriority w:val="0"/>
    <w:pPr>
      <w:ind w:left="840" w:leftChars="400"/>
    </w:pPr>
  </w:style>
  <w:style w:type="paragraph" w:styleId="18">
    <w:name w:val="Plain Text"/>
    <w:basedOn w:val="1"/>
    <w:uiPriority w:val="0"/>
    <w:rPr>
      <w:rFonts w:ascii="宋体" w:hAnsi="Courier New"/>
      <w:sz w:val="21"/>
      <w:szCs w:val="20"/>
    </w:rPr>
  </w:style>
  <w:style w:type="paragraph" w:styleId="19">
    <w:name w:val="toc 8"/>
    <w:basedOn w:val="1"/>
    <w:next w:val="1"/>
    <w:semiHidden/>
    <w:uiPriority w:val="0"/>
    <w:pPr>
      <w:ind w:left="2940" w:leftChars="1400"/>
    </w:pPr>
  </w:style>
  <w:style w:type="paragraph" w:styleId="20">
    <w:name w:val="Date"/>
    <w:basedOn w:val="1"/>
    <w:next w:val="1"/>
    <w:uiPriority w:val="0"/>
    <w:pPr>
      <w:adjustRightInd w:val="0"/>
      <w:spacing w:line="360" w:lineRule="atLeast"/>
      <w:textAlignment w:val="baseline"/>
    </w:pPr>
    <w:rPr>
      <w:rFonts w:ascii="宋体"/>
      <w:kern w:val="0"/>
      <w:sz w:val="28"/>
      <w:szCs w:val="20"/>
    </w:rPr>
  </w:style>
  <w:style w:type="paragraph" w:styleId="21">
    <w:name w:val="Body Text Indent 2"/>
    <w:basedOn w:val="1"/>
    <w:uiPriority w:val="0"/>
    <w:pPr>
      <w:spacing w:line="240" w:lineRule="atLeast"/>
      <w:ind w:firstLine="540"/>
    </w:pPr>
    <w:rPr>
      <w:szCs w:val="20"/>
    </w:rPr>
  </w:style>
  <w:style w:type="paragraph" w:styleId="22">
    <w:name w:val="Balloon Text"/>
    <w:basedOn w:val="1"/>
    <w:semiHidden/>
    <w:uiPriority w:val="0"/>
    <w:rPr>
      <w:sz w:val="18"/>
      <w:szCs w:val="18"/>
    </w:rPr>
  </w:style>
  <w:style w:type="paragraph" w:styleId="23">
    <w:name w:val="footer"/>
    <w:basedOn w:val="1"/>
    <w:uiPriority w:val="0"/>
    <w:pPr>
      <w:tabs>
        <w:tab w:val="center" w:pos="4153"/>
        <w:tab w:val="right" w:pos="8306"/>
      </w:tabs>
      <w:adjustRightInd w:val="0"/>
      <w:spacing w:line="240" w:lineRule="atLeast"/>
      <w:jc w:val="left"/>
      <w:textAlignment w:val="baseline"/>
    </w:pPr>
    <w:rPr>
      <w:kern w:val="0"/>
      <w:sz w:val="18"/>
      <w:szCs w:val="20"/>
    </w:rPr>
  </w:style>
  <w:style w:type="paragraph" w:styleId="24">
    <w:name w:val="header"/>
    <w:basedOn w:val="1"/>
    <w:uiPriority w:val="0"/>
    <w:pPr>
      <w:pBdr>
        <w:bottom w:val="single" w:color="auto" w:sz="6" w:space="1"/>
      </w:pBdr>
      <w:tabs>
        <w:tab w:val="center" w:pos="4153"/>
        <w:tab w:val="right" w:pos="8306"/>
      </w:tabs>
      <w:adjustRightInd w:val="0"/>
      <w:snapToGrid w:val="0"/>
      <w:spacing w:line="240" w:lineRule="atLeast"/>
      <w:jc w:val="center"/>
      <w:textAlignment w:val="baseline"/>
    </w:pPr>
    <w:rPr>
      <w:kern w:val="0"/>
      <w:sz w:val="18"/>
      <w:szCs w:val="20"/>
    </w:rPr>
  </w:style>
  <w:style w:type="paragraph" w:styleId="25">
    <w:name w:val="toc 1"/>
    <w:basedOn w:val="1"/>
    <w:next w:val="1"/>
    <w:semiHidden/>
    <w:uiPriority w:val="0"/>
    <w:pPr>
      <w:tabs>
        <w:tab w:val="right" w:leader="dot" w:pos="8382"/>
      </w:tabs>
      <w:adjustRightInd w:val="0"/>
      <w:spacing w:line="240" w:lineRule="atLeast"/>
      <w:ind w:right="100" w:rightChars="100"/>
      <w:textAlignment w:val="baseline"/>
    </w:pPr>
    <w:rPr>
      <w:rFonts w:ascii="宋体" w:hAnsi="宋体"/>
    </w:rPr>
  </w:style>
  <w:style w:type="paragraph" w:styleId="26">
    <w:name w:val="toc 4"/>
    <w:basedOn w:val="1"/>
    <w:next w:val="1"/>
    <w:semiHidden/>
    <w:uiPriority w:val="0"/>
    <w:pPr>
      <w:ind w:left="1260" w:leftChars="600"/>
    </w:pPr>
  </w:style>
  <w:style w:type="paragraph" w:styleId="27">
    <w:name w:val="toc 6"/>
    <w:basedOn w:val="1"/>
    <w:next w:val="1"/>
    <w:semiHidden/>
    <w:uiPriority w:val="0"/>
    <w:pPr>
      <w:ind w:left="2100" w:leftChars="1000"/>
    </w:pPr>
  </w:style>
  <w:style w:type="paragraph" w:styleId="28">
    <w:name w:val="Body Text Indent 3"/>
    <w:basedOn w:val="1"/>
    <w:uiPriority w:val="0"/>
    <w:pPr>
      <w:spacing w:line="360" w:lineRule="auto"/>
      <w:ind w:firstLine="420"/>
    </w:pPr>
    <w:rPr>
      <w:szCs w:val="20"/>
    </w:rPr>
  </w:style>
  <w:style w:type="paragraph" w:styleId="29">
    <w:name w:val="toc 2"/>
    <w:basedOn w:val="1"/>
    <w:next w:val="1"/>
    <w:semiHidden/>
    <w:uiPriority w:val="0"/>
    <w:pPr>
      <w:tabs>
        <w:tab w:val="right" w:leader="dot" w:pos="8949"/>
      </w:tabs>
      <w:adjustRightInd w:val="0"/>
      <w:spacing w:line="360" w:lineRule="atLeast"/>
      <w:ind w:left="238"/>
      <w:textAlignment w:val="baseline"/>
    </w:pPr>
    <w:rPr>
      <w:smallCaps/>
      <w:kern w:val="0"/>
      <w:sz w:val="13"/>
      <w:szCs w:val="13"/>
    </w:rPr>
  </w:style>
  <w:style w:type="paragraph" w:styleId="30">
    <w:name w:val="toc 9"/>
    <w:basedOn w:val="1"/>
    <w:next w:val="1"/>
    <w:semiHidden/>
    <w:uiPriority w:val="0"/>
    <w:pPr>
      <w:ind w:left="3360" w:leftChars="1600"/>
    </w:pPr>
  </w:style>
  <w:style w:type="paragraph" w:styleId="31">
    <w:name w:val="Body Text 2"/>
    <w:basedOn w:val="1"/>
    <w:uiPriority w:val="0"/>
    <w:pPr>
      <w:spacing w:line="360" w:lineRule="auto"/>
    </w:pPr>
    <w:rPr>
      <w:rFonts w:ascii="RomanC" w:hAnsi="RomanC"/>
      <w:color w:val="FF0000"/>
      <w:szCs w:val="20"/>
    </w:rPr>
  </w:style>
  <w:style w:type="paragraph" w:styleId="32">
    <w:name w:val="index 1"/>
    <w:basedOn w:val="1"/>
    <w:next w:val="1"/>
    <w:semiHidden/>
    <w:uiPriority w:val="0"/>
    <w:pPr>
      <w:adjustRightInd w:val="0"/>
      <w:spacing w:line="360" w:lineRule="atLeast"/>
      <w:jc w:val="left"/>
      <w:textAlignment w:val="baseline"/>
    </w:pPr>
    <w:rPr>
      <w:kern w:val="0"/>
      <w:szCs w:val="20"/>
    </w:rPr>
  </w:style>
  <w:style w:type="character" w:styleId="35">
    <w:name w:val="page number"/>
    <w:basedOn w:val="34"/>
    <w:uiPriority w:val="0"/>
  </w:style>
  <w:style w:type="character" w:styleId="36">
    <w:name w:val="Hyperlink"/>
    <w:uiPriority w:val="0"/>
    <w:rPr>
      <w:color w:val="0000FF"/>
      <w:u w:val="single"/>
    </w:rPr>
  </w:style>
  <w:style w:type="paragraph" w:customStyle="1" w:styleId="37">
    <w:name w:val="font7"/>
    <w:basedOn w:val="1"/>
    <w:uiPriority w:val="0"/>
    <w:pPr>
      <w:widowControl/>
      <w:spacing w:before="100" w:beforeAutospacing="1" w:after="100" w:afterAutospacing="1"/>
      <w:jc w:val="left"/>
    </w:pPr>
    <w:rPr>
      <w:rFonts w:hint="eastAsia" w:ascii="宋体" w:hAnsi="宋体"/>
      <w:kern w:val="0"/>
      <w:sz w:val="18"/>
      <w:szCs w:val="18"/>
    </w:rPr>
  </w:style>
  <w:style w:type="paragraph" w:customStyle="1" w:styleId="38">
    <w:name w:val="xl49"/>
    <w:basedOn w:val="1"/>
    <w:uiPriority w:val="0"/>
    <w:pPr>
      <w:widowControl/>
      <w:pBdr>
        <w:top w:val="single" w:color="auto" w:sz="8" w:space="0"/>
        <w:left w:val="single" w:color="auto" w:sz="8" w:space="0"/>
        <w:right w:val="single" w:color="auto" w:sz="4" w:space="0"/>
      </w:pBdr>
      <w:spacing w:before="100" w:beforeAutospacing="1" w:after="100" w:afterAutospacing="1"/>
      <w:jc w:val="center"/>
    </w:pPr>
    <w:rPr>
      <w:rFonts w:ascii="Helv" w:hAnsi="Helv"/>
      <w:b/>
      <w:bCs/>
      <w:kern w:val="0"/>
      <w:sz w:val="28"/>
      <w:szCs w:val="28"/>
    </w:rPr>
  </w:style>
  <w:style w:type="paragraph" w:customStyle="1" w:styleId="39">
    <w:name w:val="Char"/>
    <w:basedOn w:val="1"/>
    <w:uiPriority w:val="0"/>
  </w:style>
  <w:style w:type="paragraph" w:customStyle="1" w:styleId="40">
    <w:name w:val="xl71"/>
    <w:basedOn w:val="1"/>
    <w:uiPriority w:val="0"/>
    <w:pPr>
      <w:widowControl/>
      <w:spacing w:before="100" w:beforeAutospacing="1" w:after="100" w:afterAutospacing="1"/>
      <w:jc w:val="left"/>
    </w:pPr>
    <w:rPr>
      <w:rFonts w:hint="eastAsia" w:ascii="宋体" w:hAnsi="宋体"/>
      <w:b/>
      <w:bCs/>
      <w:kern w:val="0"/>
      <w:sz w:val="28"/>
      <w:szCs w:val="28"/>
    </w:rPr>
  </w:style>
  <w:style w:type="paragraph" w:customStyle="1" w:styleId="41">
    <w:name w:val="xl52"/>
    <w:basedOn w:val="1"/>
    <w:uiPriority w:val="0"/>
    <w:pPr>
      <w:widowControl/>
      <w:pBdr>
        <w:right w:val="single" w:color="auto" w:sz="4" w:space="0"/>
      </w:pBdr>
      <w:spacing w:before="100" w:beforeAutospacing="1" w:after="100" w:afterAutospacing="1"/>
      <w:jc w:val="center"/>
    </w:pPr>
    <w:rPr>
      <w:rFonts w:ascii="Helv" w:hAnsi="Helv"/>
      <w:b/>
      <w:bCs/>
      <w:kern w:val="0"/>
      <w:sz w:val="28"/>
      <w:szCs w:val="28"/>
    </w:rPr>
  </w:style>
  <w:style w:type="paragraph" w:customStyle="1" w:styleId="42">
    <w:name w:val="表"/>
    <w:basedOn w:val="1"/>
    <w:uiPriority w:val="0"/>
    <w:pPr>
      <w:tabs>
        <w:tab w:val="left" w:pos="1247"/>
        <w:tab w:val="left" w:pos="6804"/>
      </w:tabs>
      <w:adjustRightInd w:val="0"/>
      <w:spacing w:after="60" w:line="360" w:lineRule="atLeast"/>
      <w:textAlignment w:val="baseline"/>
    </w:pPr>
    <w:rPr>
      <w:rFonts w:ascii="Arial" w:hAnsi="Arial" w:eastAsia="幼圆"/>
      <w:spacing w:val="10"/>
      <w:kern w:val="0"/>
    </w:rPr>
  </w:style>
  <w:style w:type="paragraph" w:customStyle="1" w:styleId="43">
    <w:name w:val="xl43"/>
    <w:basedOn w:val="1"/>
    <w:uiPriority w:val="0"/>
    <w:pPr>
      <w:widowControl/>
      <w:pBdr>
        <w:top w:val="single" w:color="auto" w:sz="12" w:space="0"/>
        <w:left w:val="single" w:color="auto" w:sz="8" w:space="0"/>
        <w:bottom w:val="single" w:color="auto" w:sz="4" w:space="0"/>
        <w:right w:val="single" w:color="auto" w:sz="4" w:space="0"/>
      </w:pBdr>
      <w:spacing w:before="100" w:beforeAutospacing="1" w:after="100" w:afterAutospacing="1"/>
      <w:jc w:val="center"/>
    </w:pPr>
    <w:rPr>
      <w:rFonts w:ascii="Helv" w:hAnsi="Helv"/>
      <w:b/>
      <w:bCs/>
      <w:kern w:val="0"/>
      <w:sz w:val="28"/>
      <w:szCs w:val="28"/>
    </w:rPr>
  </w:style>
  <w:style w:type="paragraph" w:customStyle="1" w:styleId="44">
    <w:name w:val="xl72"/>
    <w:basedOn w:val="1"/>
    <w:uiPriority w:val="0"/>
    <w:pPr>
      <w:widowControl/>
      <w:pBdr>
        <w:left w:val="single" w:color="auto" w:sz="4" w:space="0"/>
        <w:right w:val="single" w:color="auto" w:sz="4" w:space="0"/>
      </w:pBdr>
      <w:spacing w:before="100" w:beforeAutospacing="1" w:after="100" w:afterAutospacing="1"/>
      <w:jc w:val="center"/>
      <w:textAlignment w:val="center"/>
    </w:pPr>
    <w:rPr>
      <w:rFonts w:hint="eastAsia" w:ascii="宋体" w:hAnsi="宋体"/>
      <w:b/>
      <w:bCs/>
      <w:kern w:val="0"/>
      <w:sz w:val="28"/>
      <w:szCs w:val="28"/>
    </w:rPr>
  </w:style>
  <w:style w:type="paragraph" w:customStyle="1" w:styleId="45">
    <w:name w:val="xl40"/>
    <w:basedOn w:val="1"/>
    <w:uiPriority w:val="0"/>
    <w:pPr>
      <w:widowControl/>
      <w:pBdr>
        <w:top w:val="single" w:color="auto" w:sz="12" w:space="0"/>
        <w:left w:val="single" w:color="auto" w:sz="12" w:space="0"/>
        <w:bottom w:val="single" w:color="auto" w:sz="4" w:space="0"/>
      </w:pBdr>
      <w:spacing w:before="100" w:beforeAutospacing="1" w:after="100" w:afterAutospacing="1"/>
      <w:jc w:val="left"/>
    </w:pPr>
    <w:rPr>
      <w:rFonts w:ascii="Helv" w:hAnsi="Helv"/>
      <w:b/>
      <w:bCs/>
      <w:kern w:val="0"/>
      <w:sz w:val="28"/>
      <w:szCs w:val="28"/>
    </w:rPr>
  </w:style>
  <w:style w:type="paragraph" w:customStyle="1" w:styleId="46">
    <w:name w:val="正文1"/>
    <w:basedOn w:val="1"/>
    <w:uiPriority w:val="0"/>
    <w:pPr>
      <w:adjustRightInd w:val="0"/>
      <w:spacing w:line="360" w:lineRule="atLeast"/>
      <w:jc w:val="left"/>
      <w:textAlignment w:val="baseline"/>
    </w:pPr>
    <w:rPr>
      <w:rFonts w:ascii="宋体"/>
      <w:kern w:val="0"/>
      <w:szCs w:val="20"/>
    </w:rPr>
  </w:style>
  <w:style w:type="paragraph" w:customStyle="1" w:styleId="47">
    <w:name w:val="xl50"/>
    <w:basedOn w:val="1"/>
    <w:uiPriority w:val="0"/>
    <w:pPr>
      <w:widowControl/>
      <w:pBdr>
        <w:top w:val="single" w:color="auto" w:sz="8" w:space="0"/>
        <w:left w:val="single" w:color="auto" w:sz="4" w:space="0"/>
        <w:right w:val="single" w:color="auto" w:sz="4" w:space="0"/>
      </w:pBdr>
      <w:spacing w:before="100" w:beforeAutospacing="1" w:after="100" w:afterAutospacing="1"/>
      <w:jc w:val="center"/>
    </w:pPr>
    <w:rPr>
      <w:rFonts w:ascii="Helv" w:hAnsi="Helv"/>
      <w:b/>
      <w:bCs/>
      <w:kern w:val="0"/>
      <w:sz w:val="28"/>
      <w:szCs w:val="28"/>
    </w:rPr>
  </w:style>
  <w:style w:type="paragraph" w:customStyle="1" w:styleId="48">
    <w:name w:val="_Style 47"/>
    <w:basedOn w:val="1"/>
    <w:next w:val="21"/>
    <w:uiPriority w:val="0"/>
    <w:pPr>
      <w:spacing w:line="240" w:lineRule="atLeast"/>
      <w:ind w:firstLine="540"/>
    </w:pPr>
    <w:rPr>
      <w:szCs w:val="20"/>
    </w:rPr>
  </w:style>
  <w:style w:type="paragraph" w:customStyle="1" w:styleId="49">
    <w:name w:val="xl47"/>
    <w:basedOn w:val="1"/>
    <w:uiPriority w:val="0"/>
    <w:pPr>
      <w:widowControl/>
      <w:pBdr>
        <w:top w:val="single" w:color="auto" w:sz="8" w:space="0"/>
      </w:pBdr>
      <w:spacing w:before="100" w:beforeAutospacing="1" w:after="100" w:afterAutospacing="1"/>
      <w:jc w:val="left"/>
    </w:pPr>
    <w:rPr>
      <w:rFonts w:ascii="Helv" w:hAnsi="Helv"/>
      <w:b/>
      <w:bCs/>
      <w:kern w:val="0"/>
      <w:sz w:val="28"/>
      <w:szCs w:val="28"/>
    </w:rPr>
  </w:style>
  <w:style w:type="paragraph" w:customStyle="1" w:styleId="50">
    <w:name w:val="标题4"/>
    <w:basedOn w:val="5"/>
    <w:next w:val="6"/>
    <w:uiPriority w:val="0"/>
    <w:pPr>
      <w:keepLines/>
      <w:widowControl/>
      <w:numPr>
        <w:ilvl w:val="0"/>
        <w:numId w:val="5"/>
      </w:numPr>
      <w:snapToGrid w:val="0"/>
      <w:spacing w:before="240" w:after="240"/>
      <w:textAlignment w:val="auto"/>
    </w:pPr>
    <w:rPr>
      <w:rFonts w:ascii="Arial" w:hAnsi="Arial" w:eastAsia="黑体"/>
      <w:b/>
      <w:i w:val="0"/>
    </w:rPr>
  </w:style>
  <w:style w:type="paragraph" w:customStyle="1" w:styleId="51">
    <w:name w:val="xl58"/>
    <w:basedOn w:val="1"/>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Helv" w:hAnsi="Helv"/>
      <w:b/>
      <w:bCs/>
      <w:kern w:val="0"/>
      <w:sz w:val="28"/>
      <w:szCs w:val="28"/>
    </w:rPr>
  </w:style>
  <w:style w:type="paragraph" w:customStyle="1" w:styleId="52">
    <w:name w:val="xl5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Helv" w:hAnsi="Helv"/>
      <w:b/>
      <w:bCs/>
      <w:kern w:val="0"/>
      <w:sz w:val="28"/>
      <w:szCs w:val="28"/>
    </w:rPr>
  </w:style>
  <w:style w:type="paragraph" w:customStyle="1" w:styleId="53">
    <w:name w:val="xl41"/>
    <w:basedOn w:val="1"/>
    <w:uiPriority w:val="0"/>
    <w:pPr>
      <w:widowControl/>
      <w:pBdr>
        <w:top w:val="single" w:color="auto" w:sz="12" w:space="0"/>
        <w:bottom w:val="single" w:color="auto" w:sz="4" w:space="0"/>
      </w:pBdr>
      <w:spacing w:before="100" w:beforeAutospacing="1" w:after="100" w:afterAutospacing="1"/>
      <w:jc w:val="left"/>
    </w:pPr>
    <w:rPr>
      <w:rFonts w:ascii="Helv" w:hAnsi="Helv"/>
      <w:b/>
      <w:bCs/>
      <w:kern w:val="0"/>
      <w:sz w:val="28"/>
      <w:szCs w:val="28"/>
    </w:rPr>
  </w:style>
  <w:style w:type="paragraph" w:customStyle="1" w:styleId="54">
    <w:name w:val="font8"/>
    <w:basedOn w:val="1"/>
    <w:uiPriority w:val="0"/>
    <w:pPr>
      <w:widowControl/>
      <w:spacing w:before="100" w:beforeAutospacing="1" w:after="100" w:afterAutospacing="1"/>
      <w:jc w:val="left"/>
    </w:pPr>
    <w:rPr>
      <w:kern w:val="0"/>
    </w:rPr>
  </w:style>
  <w:style w:type="paragraph" w:customStyle="1" w:styleId="55">
    <w:name w:val="font11"/>
    <w:basedOn w:val="1"/>
    <w:uiPriority w:val="0"/>
    <w:pPr>
      <w:widowControl/>
      <w:spacing w:before="100" w:beforeAutospacing="1" w:after="100" w:afterAutospacing="1"/>
      <w:jc w:val="left"/>
    </w:pPr>
    <w:rPr>
      <w:rFonts w:ascii="Arial" w:hAnsi="Arial" w:cs="Arial"/>
      <w:b/>
      <w:bCs/>
      <w:kern w:val="0"/>
      <w:sz w:val="28"/>
      <w:szCs w:val="28"/>
    </w:rPr>
  </w:style>
  <w:style w:type="paragraph" w:customStyle="1" w:styleId="56">
    <w:name w:val="xl66"/>
    <w:basedOn w:val="1"/>
    <w:uiPriority w:val="0"/>
    <w:pPr>
      <w:widowControl/>
      <w:pBdr>
        <w:bottom w:val="single" w:color="auto" w:sz="12" w:space="0"/>
      </w:pBdr>
      <w:spacing w:before="100" w:beforeAutospacing="1" w:after="100" w:afterAutospacing="1"/>
      <w:jc w:val="left"/>
    </w:pPr>
    <w:rPr>
      <w:rFonts w:ascii="Helv" w:hAnsi="Helv"/>
      <w:b/>
      <w:bCs/>
      <w:kern w:val="0"/>
      <w:sz w:val="28"/>
      <w:szCs w:val="28"/>
    </w:rPr>
  </w:style>
  <w:style w:type="paragraph" w:customStyle="1" w:styleId="57">
    <w:name w:val="xl70"/>
    <w:basedOn w:val="1"/>
    <w:uiPriority w:val="0"/>
    <w:pPr>
      <w:widowControl/>
      <w:spacing w:before="100" w:beforeAutospacing="1" w:after="100" w:afterAutospacing="1"/>
      <w:jc w:val="left"/>
    </w:pPr>
    <w:rPr>
      <w:rFonts w:hint="eastAsia" w:ascii="宋体" w:hAnsi="宋体"/>
      <w:b/>
      <w:bCs/>
      <w:kern w:val="0"/>
      <w:sz w:val="28"/>
      <w:szCs w:val="28"/>
    </w:rPr>
  </w:style>
  <w:style w:type="paragraph" w:customStyle="1" w:styleId="58">
    <w:name w:val="xl4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Helv" w:hAnsi="Helv"/>
      <w:b/>
      <w:bCs/>
      <w:kern w:val="0"/>
      <w:sz w:val="28"/>
      <w:szCs w:val="28"/>
    </w:rPr>
  </w:style>
  <w:style w:type="paragraph" w:customStyle="1" w:styleId="59">
    <w:name w:val="xl69"/>
    <w:basedOn w:val="1"/>
    <w:uiPriority w:val="0"/>
    <w:pPr>
      <w:widowControl/>
      <w:spacing w:before="100" w:beforeAutospacing="1" w:after="100" w:afterAutospacing="1"/>
      <w:jc w:val="left"/>
    </w:pPr>
    <w:rPr>
      <w:b/>
      <w:bCs/>
      <w:color w:val="000000"/>
      <w:kern w:val="0"/>
      <w:sz w:val="28"/>
      <w:szCs w:val="28"/>
    </w:rPr>
  </w:style>
  <w:style w:type="paragraph" w:customStyle="1" w:styleId="60">
    <w:name w:val="样式1"/>
    <w:basedOn w:val="1"/>
    <w:uiPriority w:val="0"/>
    <w:pPr>
      <w:adjustRightInd w:val="0"/>
      <w:spacing w:line="420" w:lineRule="auto"/>
      <w:jc w:val="center"/>
      <w:textAlignment w:val="baseline"/>
    </w:pPr>
    <w:rPr>
      <w:rFonts w:ascii="宋体"/>
      <w:kern w:val="0"/>
      <w:szCs w:val="20"/>
    </w:rPr>
  </w:style>
  <w:style w:type="paragraph" w:customStyle="1" w:styleId="61">
    <w:name w:val="xl39"/>
    <w:basedOn w:val="1"/>
    <w:uiPriority w:val="0"/>
    <w:pPr>
      <w:widowControl/>
      <w:spacing w:before="100" w:beforeAutospacing="1" w:after="100" w:afterAutospacing="1"/>
      <w:jc w:val="left"/>
    </w:pPr>
    <w:rPr>
      <w:rFonts w:ascii="Helv" w:hAnsi="Helv"/>
      <w:b/>
      <w:bCs/>
      <w:kern w:val="0"/>
      <w:sz w:val="28"/>
      <w:szCs w:val="28"/>
    </w:rPr>
  </w:style>
  <w:style w:type="paragraph" w:customStyle="1" w:styleId="62">
    <w:name w:val="xl44"/>
    <w:basedOn w:val="1"/>
    <w:uiPriority w:val="0"/>
    <w:pPr>
      <w:widowControl/>
      <w:pBdr>
        <w:top w:val="single" w:color="auto" w:sz="12" w:space="0"/>
        <w:left w:val="single" w:color="auto" w:sz="4" w:space="0"/>
        <w:bottom w:val="single" w:color="auto" w:sz="4" w:space="0"/>
        <w:right w:val="single" w:color="auto" w:sz="4" w:space="0"/>
      </w:pBdr>
      <w:spacing w:before="100" w:beforeAutospacing="1" w:after="100" w:afterAutospacing="1"/>
      <w:jc w:val="center"/>
    </w:pPr>
    <w:rPr>
      <w:rFonts w:ascii="Helv" w:hAnsi="Helv"/>
      <w:b/>
      <w:bCs/>
      <w:kern w:val="0"/>
      <w:sz w:val="28"/>
      <w:szCs w:val="28"/>
    </w:rPr>
  </w:style>
  <w:style w:type="paragraph" w:customStyle="1" w:styleId="63">
    <w:name w:val="xl6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Helv" w:hAnsi="Helv"/>
      <w:b/>
      <w:bCs/>
      <w:kern w:val="0"/>
      <w:sz w:val="28"/>
      <w:szCs w:val="28"/>
    </w:rPr>
  </w:style>
  <w:style w:type="paragraph" w:customStyle="1" w:styleId="64">
    <w:name w:val="font6"/>
    <w:basedOn w:val="1"/>
    <w:uiPriority w:val="0"/>
    <w:pPr>
      <w:widowControl/>
      <w:spacing w:before="100" w:beforeAutospacing="1" w:after="100" w:afterAutospacing="1"/>
      <w:jc w:val="left"/>
    </w:pPr>
    <w:rPr>
      <w:rFonts w:ascii="Helv" w:hAnsi="Helv"/>
      <w:b/>
      <w:bCs/>
      <w:kern w:val="0"/>
    </w:rPr>
  </w:style>
  <w:style w:type="paragraph" w:customStyle="1" w:styleId="65">
    <w:name w:val="xl54"/>
    <w:basedOn w:val="1"/>
    <w:uiPriority w:val="0"/>
    <w:pPr>
      <w:widowControl/>
      <w:pBdr>
        <w:bottom w:val="single" w:color="auto" w:sz="8" w:space="0"/>
      </w:pBdr>
      <w:spacing w:before="100" w:beforeAutospacing="1" w:after="100" w:afterAutospacing="1"/>
      <w:jc w:val="left"/>
    </w:pPr>
    <w:rPr>
      <w:rFonts w:ascii="Helv" w:hAnsi="Helv"/>
      <w:b/>
      <w:bCs/>
      <w:kern w:val="0"/>
      <w:sz w:val="28"/>
      <w:szCs w:val="28"/>
    </w:rPr>
  </w:style>
  <w:style w:type="paragraph" w:customStyle="1" w:styleId="66">
    <w:name w:val="xl65"/>
    <w:basedOn w:val="1"/>
    <w:uiPriority w:val="0"/>
    <w:pPr>
      <w:widowControl/>
      <w:pBdr>
        <w:left w:val="single" w:color="auto" w:sz="12" w:space="0"/>
        <w:bottom w:val="single" w:color="auto" w:sz="12" w:space="0"/>
      </w:pBdr>
      <w:spacing w:before="100" w:beforeAutospacing="1" w:after="100" w:afterAutospacing="1"/>
      <w:jc w:val="left"/>
    </w:pPr>
    <w:rPr>
      <w:rFonts w:ascii="Helvetica" w:hAnsi="Helvetica"/>
      <w:b/>
      <w:bCs/>
      <w:kern w:val="0"/>
      <w:sz w:val="28"/>
      <w:szCs w:val="28"/>
    </w:rPr>
  </w:style>
  <w:style w:type="paragraph" w:customStyle="1" w:styleId="67">
    <w:name w:val="Plain Text1"/>
    <w:basedOn w:val="1"/>
    <w:uiPriority w:val="0"/>
    <w:pPr>
      <w:overflowPunct w:val="0"/>
      <w:autoSpaceDE w:val="0"/>
      <w:autoSpaceDN w:val="0"/>
      <w:adjustRightInd w:val="0"/>
      <w:textAlignment w:val="baseline"/>
    </w:pPr>
    <w:rPr>
      <w:rFonts w:ascii="宋体"/>
      <w:kern w:val="0"/>
      <w:sz w:val="28"/>
      <w:szCs w:val="20"/>
    </w:rPr>
  </w:style>
  <w:style w:type="paragraph" w:customStyle="1" w:styleId="68">
    <w:name w:val="xl68"/>
    <w:basedOn w:val="1"/>
    <w:uiPriority w:val="0"/>
    <w:pPr>
      <w:widowControl/>
      <w:spacing w:before="100" w:beforeAutospacing="1" w:after="100" w:afterAutospacing="1"/>
      <w:jc w:val="left"/>
    </w:pPr>
    <w:rPr>
      <w:rFonts w:hint="eastAsia" w:ascii="宋体" w:hAnsi="宋体"/>
      <w:kern w:val="0"/>
    </w:rPr>
  </w:style>
  <w:style w:type="paragraph" w:customStyle="1" w:styleId="69">
    <w:name w:val="xl6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Helv" w:hAnsi="Helv"/>
      <w:b/>
      <w:bCs/>
      <w:kern w:val="0"/>
      <w:sz w:val="28"/>
      <w:szCs w:val="28"/>
    </w:rPr>
  </w:style>
  <w:style w:type="paragraph" w:customStyle="1" w:styleId="70">
    <w:name w:val="xl51"/>
    <w:basedOn w:val="1"/>
    <w:uiPriority w:val="0"/>
    <w:pPr>
      <w:widowControl/>
      <w:pBdr>
        <w:left w:val="single" w:color="auto" w:sz="12" w:space="0"/>
      </w:pBdr>
      <w:spacing w:before="100" w:beforeAutospacing="1" w:after="100" w:afterAutospacing="1"/>
      <w:jc w:val="left"/>
      <w:textAlignment w:val="top"/>
    </w:pPr>
    <w:rPr>
      <w:rFonts w:ascii="Helv" w:hAnsi="Helv"/>
      <w:b/>
      <w:bCs/>
      <w:kern w:val="0"/>
      <w:sz w:val="28"/>
      <w:szCs w:val="28"/>
    </w:rPr>
  </w:style>
  <w:style w:type="paragraph" w:customStyle="1" w:styleId="71">
    <w:name w:val="xl56"/>
    <w:basedOn w:val="1"/>
    <w:uiPriority w:val="0"/>
    <w:pPr>
      <w:widowControl/>
      <w:pBdr>
        <w:left w:val="single" w:color="auto" w:sz="4" w:space="0"/>
        <w:bottom w:val="single" w:color="auto" w:sz="8" w:space="0"/>
        <w:right w:val="single" w:color="auto" w:sz="4" w:space="0"/>
      </w:pBdr>
      <w:spacing w:before="100" w:beforeAutospacing="1" w:after="100" w:afterAutospacing="1"/>
      <w:jc w:val="center"/>
    </w:pPr>
    <w:rPr>
      <w:rFonts w:ascii="Helv" w:hAnsi="Helv"/>
      <w:b/>
      <w:bCs/>
      <w:kern w:val="0"/>
      <w:sz w:val="28"/>
      <w:szCs w:val="28"/>
    </w:rPr>
  </w:style>
  <w:style w:type="paragraph" w:customStyle="1" w:styleId="72">
    <w:name w:val="font12"/>
    <w:basedOn w:val="1"/>
    <w:uiPriority w:val="0"/>
    <w:pPr>
      <w:widowControl/>
      <w:spacing w:before="100" w:beforeAutospacing="1" w:after="100" w:afterAutospacing="1"/>
      <w:jc w:val="left"/>
    </w:pPr>
    <w:rPr>
      <w:b/>
      <w:bCs/>
      <w:kern w:val="0"/>
      <w:sz w:val="28"/>
      <w:szCs w:val="28"/>
    </w:rPr>
  </w:style>
  <w:style w:type="paragraph" w:customStyle="1" w:styleId="73">
    <w:name w:val="xl42"/>
    <w:basedOn w:val="1"/>
    <w:uiPriority w:val="0"/>
    <w:pPr>
      <w:widowControl/>
      <w:pBdr>
        <w:top w:val="single" w:color="auto" w:sz="12" w:space="0"/>
        <w:bottom w:val="single" w:color="auto" w:sz="4" w:space="0"/>
        <w:right w:val="single" w:color="auto" w:sz="4" w:space="0"/>
      </w:pBdr>
      <w:spacing w:before="100" w:beforeAutospacing="1" w:after="100" w:afterAutospacing="1"/>
      <w:jc w:val="center"/>
    </w:pPr>
    <w:rPr>
      <w:rFonts w:ascii="Helv" w:hAnsi="Helv"/>
      <w:b/>
      <w:bCs/>
      <w:kern w:val="0"/>
      <w:sz w:val="28"/>
      <w:szCs w:val="28"/>
    </w:rPr>
  </w:style>
  <w:style w:type="paragraph" w:customStyle="1" w:styleId="74">
    <w:name w:val="font10"/>
    <w:basedOn w:val="1"/>
    <w:uiPriority w:val="0"/>
    <w:pPr>
      <w:widowControl/>
      <w:spacing w:before="100" w:beforeAutospacing="1" w:after="100" w:afterAutospacing="1"/>
      <w:jc w:val="left"/>
    </w:pPr>
    <w:rPr>
      <w:rFonts w:hint="eastAsia" w:ascii="宋体" w:hAnsi="宋体"/>
      <w:b/>
      <w:bCs/>
      <w:color w:val="000000"/>
      <w:kern w:val="0"/>
      <w:sz w:val="28"/>
      <w:szCs w:val="28"/>
    </w:rPr>
  </w:style>
  <w:style w:type="paragraph" w:customStyle="1" w:styleId="75">
    <w:name w:val="xl48"/>
    <w:basedOn w:val="1"/>
    <w:uiPriority w:val="0"/>
    <w:pPr>
      <w:widowControl/>
      <w:pBdr>
        <w:top w:val="single" w:color="auto" w:sz="8" w:space="0"/>
        <w:right w:val="single" w:color="auto" w:sz="4" w:space="0"/>
      </w:pBdr>
      <w:spacing w:before="100" w:beforeAutospacing="1" w:after="100" w:afterAutospacing="1"/>
      <w:jc w:val="center"/>
    </w:pPr>
    <w:rPr>
      <w:rFonts w:ascii="Helv" w:hAnsi="Helv"/>
      <w:b/>
      <w:bCs/>
      <w:kern w:val="0"/>
      <w:sz w:val="28"/>
      <w:szCs w:val="28"/>
    </w:rPr>
  </w:style>
  <w:style w:type="paragraph" w:customStyle="1" w:styleId="76">
    <w:name w:val="xl57"/>
    <w:basedOn w:val="1"/>
    <w:uiPriority w:val="0"/>
    <w:pPr>
      <w:widowControl/>
      <w:pBdr>
        <w:top w:val="single" w:color="auto" w:sz="4" w:space="0"/>
        <w:left w:val="single" w:color="auto" w:sz="12" w:space="0"/>
        <w:bottom w:val="single" w:color="auto" w:sz="4" w:space="0"/>
      </w:pBdr>
      <w:spacing w:before="100" w:beforeAutospacing="1" w:after="100" w:afterAutospacing="1"/>
      <w:jc w:val="left"/>
    </w:pPr>
    <w:rPr>
      <w:rFonts w:ascii="Helv" w:hAnsi="Helv"/>
      <w:b/>
      <w:bCs/>
      <w:kern w:val="0"/>
      <w:sz w:val="28"/>
      <w:szCs w:val="28"/>
    </w:rPr>
  </w:style>
  <w:style w:type="paragraph" w:customStyle="1" w:styleId="77">
    <w:name w:val="xl46"/>
    <w:basedOn w:val="1"/>
    <w:uiPriority w:val="0"/>
    <w:pPr>
      <w:widowControl/>
      <w:pBdr>
        <w:top w:val="single" w:color="auto" w:sz="8" w:space="0"/>
        <w:left w:val="single" w:color="auto" w:sz="12" w:space="0"/>
      </w:pBdr>
      <w:spacing w:before="100" w:beforeAutospacing="1" w:after="100" w:afterAutospacing="1"/>
      <w:jc w:val="left"/>
    </w:pPr>
    <w:rPr>
      <w:rFonts w:ascii="Helv" w:hAnsi="Helv"/>
      <w:b/>
      <w:bCs/>
      <w:kern w:val="0"/>
      <w:sz w:val="28"/>
      <w:szCs w:val="28"/>
    </w:rPr>
  </w:style>
  <w:style w:type="paragraph" w:customStyle="1" w:styleId="78">
    <w:name w:val="xl73"/>
    <w:basedOn w:val="1"/>
    <w:uiPriority w:val="0"/>
    <w:pPr>
      <w:widowControl/>
      <w:pBdr>
        <w:top w:val="single" w:color="auto" w:sz="4" w:space="0"/>
        <w:left w:val="single" w:color="auto" w:sz="12" w:space="0"/>
        <w:bottom w:val="single" w:color="auto" w:sz="4" w:space="0"/>
      </w:pBdr>
      <w:spacing w:before="100" w:beforeAutospacing="1" w:after="100" w:afterAutospacing="1"/>
      <w:jc w:val="left"/>
    </w:pPr>
    <w:rPr>
      <w:rFonts w:hint="eastAsia" w:ascii="宋体" w:hAnsi="宋体"/>
      <w:b/>
      <w:bCs/>
      <w:kern w:val="0"/>
      <w:sz w:val="28"/>
      <w:szCs w:val="28"/>
    </w:rPr>
  </w:style>
  <w:style w:type="paragraph" w:customStyle="1" w:styleId="79">
    <w:name w:val="8 Char Char"/>
    <w:basedOn w:val="1"/>
    <w:uiPriority w:val="0"/>
    <w:pPr>
      <w:spacing w:line="360" w:lineRule="auto"/>
      <w:ind w:firstLine="478" w:firstLineChars="199"/>
    </w:pPr>
    <w:rPr>
      <w:color w:val="000000"/>
      <w:szCs w:val="20"/>
    </w:rPr>
  </w:style>
  <w:style w:type="paragraph" w:customStyle="1" w:styleId="80">
    <w:name w:val="xl38"/>
    <w:basedOn w:val="1"/>
    <w:uiPriority w:val="0"/>
    <w:pPr>
      <w:widowControl/>
      <w:spacing w:before="100" w:beforeAutospacing="1" w:after="100" w:afterAutospacing="1"/>
      <w:jc w:val="center"/>
    </w:pPr>
    <w:rPr>
      <w:rFonts w:ascii="Helv" w:hAnsi="Helv"/>
      <w:b/>
      <w:bCs/>
      <w:kern w:val="0"/>
      <w:sz w:val="28"/>
      <w:szCs w:val="28"/>
    </w:rPr>
  </w:style>
  <w:style w:type="paragraph" w:customStyle="1" w:styleId="81">
    <w:name w:val="样式2"/>
    <w:basedOn w:val="1"/>
    <w:uiPriority w:val="0"/>
    <w:pPr>
      <w:spacing w:line="360" w:lineRule="auto"/>
    </w:pPr>
    <w:rPr>
      <w:kern w:val="0"/>
      <w:sz w:val="28"/>
      <w:szCs w:val="20"/>
    </w:rPr>
  </w:style>
  <w:style w:type="paragraph" w:customStyle="1" w:styleId="82">
    <w:name w:val="xl61"/>
    <w:basedOn w:val="1"/>
    <w:uiPriority w:val="0"/>
    <w:pPr>
      <w:widowControl/>
      <w:pBdr>
        <w:left w:val="single" w:color="auto" w:sz="12" w:space="0"/>
      </w:pBdr>
      <w:spacing w:before="100" w:beforeAutospacing="1" w:after="100" w:afterAutospacing="1"/>
      <w:jc w:val="left"/>
    </w:pPr>
    <w:rPr>
      <w:rFonts w:ascii="Helv" w:hAnsi="Helv"/>
      <w:b/>
      <w:bCs/>
      <w:kern w:val="0"/>
      <w:sz w:val="28"/>
      <w:szCs w:val="28"/>
    </w:rPr>
  </w:style>
  <w:style w:type="paragraph" w:customStyle="1" w:styleId="83">
    <w:name w:val="xl67"/>
    <w:basedOn w:val="1"/>
    <w:uiPriority w:val="0"/>
    <w:pPr>
      <w:widowControl/>
      <w:pBdr>
        <w:bottom w:val="single" w:color="auto" w:sz="12" w:space="0"/>
      </w:pBdr>
      <w:spacing w:before="100" w:beforeAutospacing="1" w:after="100" w:afterAutospacing="1"/>
      <w:jc w:val="center"/>
    </w:pPr>
    <w:rPr>
      <w:rFonts w:ascii="Helv" w:hAnsi="Helv"/>
      <w:b/>
      <w:bCs/>
      <w:kern w:val="0"/>
      <w:sz w:val="28"/>
      <w:szCs w:val="28"/>
    </w:rPr>
  </w:style>
  <w:style w:type="paragraph" w:customStyle="1" w:styleId="84">
    <w:name w:val="xl53"/>
    <w:basedOn w:val="1"/>
    <w:uiPriority w:val="0"/>
    <w:pPr>
      <w:widowControl/>
      <w:pBdr>
        <w:left w:val="single" w:color="auto" w:sz="12" w:space="0"/>
        <w:bottom w:val="single" w:color="auto" w:sz="8" w:space="0"/>
      </w:pBdr>
      <w:spacing w:before="100" w:beforeAutospacing="1" w:after="100" w:afterAutospacing="1"/>
      <w:jc w:val="left"/>
    </w:pPr>
    <w:rPr>
      <w:rFonts w:ascii="Helv" w:hAnsi="Helv"/>
      <w:b/>
      <w:bCs/>
      <w:kern w:val="0"/>
      <w:sz w:val="28"/>
      <w:szCs w:val="28"/>
    </w:rPr>
  </w:style>
  <w:style w:type="paragraph" w:customStyle="1" w:styleId="85">
    <w:name w:val="xl6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Helv" w:hAnsi="Helv"/>
      <w:b/>
      <w:bCs/>
      <w:kern w:val="0"/>
      <w:sz w:val="28"/>
      <w:szCs w:val="28"/>
    </w:rPr>
  </w:style>
  <w:style w:type="paragraph" w:customStyle="1" w:styleId="86">
    <w:name w:val="xl55"/>
    <w:basedOn w:val="1"/>
    <w:uiPriority w:val="0"/>
    <w:pPr>
      <w:widowControl/>
      <w:pBdr>
        <w:bottom w:val="single" w:color="auto" w:sz="8" w:space="0"/>
        <w:right w:val="single" w:color="auto" w:sz="4" w:space="0"/>
      </w:pBdr>
      <w:spacing w:before="100" w:beforeAutospacing="1" w:after="100" w:afterAutospacing="1"/>
      <w:jc w:val="center"/>
    </w:pPr>
    <w:rPr>
      <w:rFonts w:ascii="Helv" w:hAnsi="Helv"/>
      <w:b/>
      <w:bCs/>
      <w:kern w:val="0"/>
      <w:sz w:val="28"/>
      <w:szCs w:val="28"/>
    </w:rPr>
  </w:style>
  <w:style w:type="paragraph" w:customStyle="1" w:styleId="87">
    <w:name w:val="font9"/>
    <w:basedOn w:val="1"/>
    <w:uiPriority w:val="0"/>
    <w:pPr>
      <w:widowControl/>
      <w:spacing w:before="100" w:beforeAutospacing="1" w:after="100" w:afterAutospacing="1"/>
      <w:jc w:val="left"/>
    </w:pPr>
    <w:rPr>
      <w:rFonts w:hint="eastAsia" w:ascii="宋体" w:hAnsi="宋体"/>
      <w:b/>
      <w:bCs/>
      <w:kern w:val="0"/>
      <w:sz w:val="28"/>
      <w:szCs w:val="28"/>
    </w:rPr>
  </w:style>
  <w:style w:type="paragraph" w:customStyle="1" w:styleId="88">
    <w:name w:val="font5"/>
    <w:basedOn w:val="1"/>
    <w:uiPriority w:val="0"/>
    <w:pPr>
      <w:widowControl/>
      <w:spacing w:before="100" w:beforeAutospacing="1" w:after="100" w:afterAutospacing="1"/>
      <w:jc w:val="left"/>
    </w:pPr>
    <w:rPr>
      <w:rFonts w:ascii="Helv" w:hAnsi="Helv"/>
      <w:b/>
      <w:bCs/>
      <w:kern w:val="0"/>
      <w:sz w:val="28"/>
      <w:szCs w:val="28"/>
    </w:rPr>
  </w:style>
  <w:style w:type="paragraph" w:customStyle="1" w:styleId="89">
    <w:name w:val="Paragraph 4"/>
    <w:basedOn w:val="1"/>
    <w:uiPriority w:val="0"/>
    <w:pPr>
      <w:widowControl/>
      <w:tabs>
        <w:tab w:val="left" w:pos="2736"/>
      </w:tabs>
      <w:spacing w:after="120"/>
      <w:ind w:left="2736" w:hanging="1008"/>
    </w:pPr>
    <w:rPr>
      <w:rFonts w:ascii="Arial" w:hAnsi="Arial"/>
      <w:sz w:val="22"/>
      <w:lang w:eastAsia="en-US"/>
    </w:rPr>
  </w:style>
  <w:style w:type="paragraph" w:customStyle="1" w:styleId="90">
    <w:name w:val="正文2"/>
    <w:uiPriority w:val="0"/>
    <w:pPr>
      <w:numPr>
        <w:ilvl w:val="0"/>
        <w:numId w:val="6"/>
      </w:numPr>
      <w:tabs>
        <w:tab w:val="right" w:pos="1474"/>
        <w:tab w:val="clear" w:pos="1551"/>
      </w:tabs>
      <w:spacing w:line="360" w:lineRule="auto"/>
    </w:pPr>
    <w:rPr>
      <w:rFonts w:ascii="Times New Roman" w:hAnsi="Times New Roman" w:eastAsia="宋体" w:cs="Times New Roman"/>
      <w:sz w:val="24"/>
      <w:lang w:val="en-US" w:eastAsia="zh-CN" w:bidi="ar-SA"/>
    </w:rPr>
  </w:style>
  <w:style w:type="paragraph" w:customStyle="1" w:styleId="91">
    <w:name w:val="表格"/>
    <w:basedOn w:val="1"/>
    <w:uiPriority w:val="0"/>
    <w:pPr>
      <w:spacing w:before="60" w:after="60"/>
      <w:jc w:val="center"/>
    </w:pPr>
    <w:rPr>
      <w:sz w:val="28"/>
      <w:szCs w:val="18"/>
    </w:rPr>
  </w:style>
  <w:style w:type="paragraph" w:customStyle="1" w:styleId="92">
    <w:name w:val="xl6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Helv" w:hAnsi="Helv"/>
      <w:b/>
      <w:bCs/>
      <w:kern w:val="0"/>
      <w:sz w:val="28"/>
      <w:szCs w:val="28"/>
    </w:rPr>
  </w:style>
  <w:style w:type="paragraph" w:customStyle="1" w:styleId="93">
    <w:name w:val="Char1"/>
    <w:basedOn w:val="1"/>
    <w:uiPriority w:val="0"/>
    <w:rPr>
      <w:sz w:val="21"/>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kaidi</Company>
  <Pages>16</Pages>
  <Words>1412</Words>
  <Characters>8049</Characters>
  <Lines>67</Lines>
  <Paragraphs>18</Paragraphs>
  <TotalTime>44</TotalTime>
  <ScaleCrop>false</ScaleCrop>
  <LinksUpToDate>false</LinksUpToDate>
  <CharactersWithSpaces>9443</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2020-05-15T05:38:00Z</dcterms:created>
  <dc:creator>付红平</dc:creator>
  <cp:lastModifiedBy>admin/cjhb</cp:lastModifiedBy>
  <cp:lastPrinted>2007-11-14T06:22:00Z</cp:lastPrinted>
  <dcterms:modified xsi:type="dcterms:W3CDTF">2022-09-05T03:42:07Z</dcterms:modified>
  <dc:subject>惠来项目</dc:subject>
  <dc:title>升压风机技术协议书</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