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sz w:val="30"/>
          <w:szCs w:val="30"/>
        </w:rPr>
      </w:pPr>
      <w:r>
        <w:rPr>
          <w:rFonts w:hint="eastAsia" w:ascii="黑体" w:hAnsi="黑体" w:eastAsia="黑体" w:cs="黑体"/>
          <w:b/>
          <w:sz w:val="30"/>
          <w:szCs w:val="30"/>
        </w:rPr>
        <w:t>内蒙古大唐国际托克托发电有限责任公司1号炉一次风机改造项目</w:t>
      </w:r>
      <w:r>
        <w:rPr>
          <w:rFonts w:hint="eastAsia" w:ascii="黑体" w:hAnsi="黑体" w:eastAsia="黑体" w:cs="黑体"/>
          <w:b/>
          <w:sz w:val="30"/>
          <w:szCs w:val="30"/>
          <w:lang w:eastAsia="zh-CN"/>
        </w:rPr>
        <w:t>调试用油</w:t>
      </w:r>
      <w:r>
        <w:rPr>
          <w:rFonts w:hint="eastAsia" w:ascii="黑体" w:hAnsi="黑体" w:eastAsia="黑体" w:cs="黑体"/>
          <w:b/>
          <w:sz w:val="30"/>
          <w:szCs w:val="30"/>
        </w:rPr>
        <w:t>技术规范书</w:t>
      </w:r>
    </w:p>
    <w:p>
      <w:pPr>
        <w:spacing w:line="360" w:lineRule="auto"/>
        <w:ind w:left="-450" w:leftChars="-225" w:right="-422" w:rightChars="-211" w:firstLine="482"/>
        <w:outlineLvl w:val="1"/>
        <w:rPr>
          <w:rFonts w:hint="eastAsia" w:ascii="宋体" w:hAnsi="宋体" w:cs="Arial"/>
          <w:b/>
          <w:sz w:val="24"/>
          <w:szCs w:val="21"/>
        </w:rPr>
      </w:pPr>
      <w:r>
        <w:rPr>
          <w:rFonts w:hint="eastAsia" w:ascii="宋体" w:hAnsi="宋体" w:cs="Arial"/>
          <w:b/>
          <w:szCs w:val="21"/>
        </w:rPr>
        <w:t>1总则</w:t>
      </w:r>
    </w:p>
    <w:p>
      <w:pPr>
        <w:spacing w:line="360" w:lineRule="auto"/>
        <w:ind w:firstLine="480"/>
        <w:rPr>
          <w:rFonts w:hint="eastAsia" w:ascii="宋体" w:hAnsi="宋体"/>
          <w:szCs w:val="21"/>
        </w:rPr>
      </w:pPr>
      <w:r>
        <w:rPr>
          <w:rFonts w:hint="eastAsia" w:ascii="宋体" w:hAnsi="宋体"/>
          <w:szCs w:val="21"/>
        </w:rPr>
        <w:t>1.1项目名称：</w:t>
      </w:r>
      <w:r>
        <w:rPr>
          <w:rFonts w:hint="eastAsia" w:ascii="宋体" w:hAnsi="宋体"/>
          <w:b/>
          <w:szCs w:val="21"/>
        </w:rPr>
        <w:t>内蒙古大唐国际托克托发电有限责任公司1号炉一次风机改造</w:t>
      </w:r>
      <w:r>
        <w:rPr>
          <w:rFonts w:hint="eastAsia" w:ascii="宋体" w:hAnsi="宋体"/>
          <w:b/>
          <w:bCs/>
          <w:szCs w:val="21"/>
        </w:rPr>
        <w:t>合同</w:t>
      </w:r>
    </w:p>
    <w:p>
      <w:pPr>
        <w:spacing w:line="360" w:lineRule="auto"/>
        <w:ind w:left="29" w:firstLine="480"/>
        <w:rPr>
          <w:rFonts w:hint="eastAsia" w:ascii="宋体" w:hAnsi="宋体"/>
          <w:szCs w:val="21"/>
          <w:highlight w:val="yellow"/>
          <w:u w:val="single"/>
        </w:rPr>
      </w:pPr>
      <w:r>
        <w:rPr>
          <w:rFonts w:hint="eastAsia" w:ascii="宋体" w:hAnsi="宋体"/>
          <w:szCs w:val="21"/>
        </w:rPr>
        <w:t>1.2供货范围：</w:t>
      </w:r>
      <w:r>
        <w:rPr>
          <w:rFonts w:hint="eastAsia" w:ascii="宋体" w:hAnsi="宋体"/>
          <w:szCs w:val="21"/>
          <w:u w:val="single"/>
          <w:lang w:eastAsia="zh-CN"/>
        </w:rPr>
        <w:t>调试用油</w:t>
      </w:r>
      <w:r>
        <w:rPr>
          <w:rFonts w:hint="eastAsia" w:ascii="宋体" w:hAnsi="宋体"/>
          <w:szCs w:val="21"/>
          <w:u w:val="single"/>
        </w:rPr>
        <w:t>一批。</w:t>
      </w:r>
    </w:p>
    <w:p>
      <w:pPr>
        <w:spacing w:line="360" w:lineRule="auto"/>
        <w:ind w:left="29" w:firstLine="480"/>
        <w:rPr>
          <w:rFonts w:hint="eastAsia" w:ascii="宋体" w:hAnsi="宋体"/>
          <w:szCs w:val="21"/>
        </w:rPr>
      </w:pPr>
      <w:r>
        <w:rPr>
          <w:rFonts w:hint="eastAsia" w:ascii="宋体" w:hAnsi="宋体"/>
          <w:szCs w:val="21"/>
        </w:rPr>
        <w:t>1.3本技术规范书提出的是最低限度的技术要求，并未对一切技术细节做出规定，乙方保证所供设备是先进可靠的全新产品。</w:t>
      </w:r>
    </w:p>
    <w:p>
      <w:pPr>
        <w:spacing w:line="360" w:lineRule="auto"/>
        <w:ind w:left="29" w:firstLine="480"/>
        <w:rPr>
          <w:rFonts w:hint="eastAsia" w:ascii="宋体" w:hAnsi="宋体"/>
          <w:szCs w:val="21"/>
        </w:rPr>
      </w:pPr>
      <w:r>
        <w:rPr>
          <w:rFonts w:hint="eastAsia" w:ascii="宋体" w:hAnsi="宋体"/>
          <w:szCs w:val="21"/>
        </w:rPr>
        <w:t>1.4本技术规范书并未充分引述有关标准及规范的条文，乙方保证所供设备满足国家有关安全、环保等强制性标准的要求，并符合本技术协议和有关最新工业标准的要求。</w:t>
      </w:r>
    </w:p>
    <w:p>
      <w:pPr>
        <w:spacing w:line="360" w:lineRule="auto"/>
        <w:ind w:left="29" w:firstLine="480"/>
        <w:rPr>
          <w:rFonts w:hint="eastAsia" w:ascii="宋体" w:hAnsi="宋体"/>
          <w:szCs w:val="21"/>
        </w:rPr>
      </w:pPr>
      <w:r>
        <w:rPr>
          <w:rFonts w:hint="eastAsia" w:ascii="宋体" w:hAnsi="宋体"/>
          <w:szCs w:val="21"/>
        </w:rPr>
        <w:t>1.5如乙方没有以书面形式对技术规范书的条文提出异议，则电厂认为乙方提供的产品完全满足技术规范书的要求和有关工业标准的要求。如有异议，不管是多么微小，都应在投标书中以“对协议的意见和同协议的差异”为标题的专门章节中加以详细说明。</w:t>
      </w:r>
    </w:p>
    <w:p>
      <w:pPr>
        <w:spacing w:line="360" w:lineRule="auto"/>
        <w:ind w:left="-450" w:leftChars="-225" w:right="-422" w:rightChars="-211" w:firstLine="482"/>
        <w:outlineLvl w:val="1"/>
        <w:rPr>
          <w:rFonts w:hint="eastAsia" w:ascii="宋体" w:hAnsi="宋体" w:cs="Arial"/>
          <w:b/>
          <w:szCs w:val="21"/>
        </w:rPr>
      </w:pPr>
      <w:bookmarkStart w:id="0" w:name="_Toc182907283"/>
      <w:r>
        <w:rPr>
          <w:rFonts w:hint="eastAsia" w:ascii="宋体" w:hAnsi="宋体" w:cs="Arial"/>
          <w:b/>
          <w:szCs w:val="21"/>
        </w:rPr>
        <w:t>2</w:t>
      </w:r>
      <w:bookmarkEnd w:id="0"/>
      <w:bookmarkStart w:id="1" w:name="_Toc182907284"/>
      <w:r>
        <w:rPr>
          <w:rFonts w:hint="eastAsia" w:ascii="宋体" w:hAnsi="宋体" w:cs="Arial"/>
          <w:b/>
          <w:szCs w:val="21"/>
        </w:rPr>
        <w:t>规范和标准</w:t>
      </w:r>
      <w:bookmarkEnd w:id="1"/>
    </w:p>
    <w:p>
      <w:pPr>
        <w:spacing w:line="360" w:lineRule="auto"/>
        <w:ind w:left="29" w:firstLine="480"/>
        <w:rPr>
          <w:rFonts w:hint="eastAsia" w:ascii="宋体" w:hAnsi="宋体"/>
          <w:szCs w:val="21"/>
        </w:rPr>
      </w:pPr>
      <w:bookmarkStart w:id="2" w:name="_Toc4400661"/>
      <w:bookmarkStart w:id="3" w:name="_Toc4382669"/>
      <w:r>
        <w:rPr>
          <w:rFonts w:hint="eastAsia" w:ascii="宋体" w:hAnsi="宋体"/>
          <w:szCs w:val="21"/>
        </w:rPr>
        <w:t>2.1.乙方所供设备的设计和制造，应符合现行使用的国家有关标准和部颁标准或引用国际标准。标准和规范至少包括：</w:t>
      </w:r>
    </w:p>
    <w:p>
      <w:pPr>
        <w:spacing w:line="360" w:lineRule="auto"/>
        <w:ind w:left="29" w:firstLine="480"/>
        <w:rPr>
          <w:rFonts w:hint="eastAsia" w:ascii="宋体"/>
          <w:bCs/>
          <w:szCs w:val="21"/>
        </w:rPr>
      </w:pPr>
      <w:r>
        <w:rPr>
          <w:rFonts w:hint="eastAsia" w:ascii="宋体"/>
          <w:bCs/>
          <w:szCs w:val="21"/>
        </w:rPr>
        <w:t>GB50251《输气管道工程设计规范》</w:t>
      </w:r>
    </w:p>
    <w:p>
      <w:pPr>
        <w:spacing w:line="360" w:lineRule="auto"/>
        <w:ind w:left="29" w:firstLine="480"/>
        <w:rPr>
          <w:rFonts w:hint="eastAsia" w:ascii="宋体"/>
          <w:bCs/>
          <w:szCs w:val="21"/>
        </w:rPr>
      </w:pPr>
      <w:r>
        <w:rPr>
          <w:rFonts w:hint="eastAsia" w:ascii="宋体"/>
          <w:bCs/>
          <w:szCs w:val="21"/>
        </w:rPr>
        <w:t>GB50316《工业金属管道设计规范》</w:t>
      </w:r>
    </w:p>
    <w:p>
      <w:pPr>
        <w:spacing w:line="360" w:lineRule="auto"/>
        <w:ind w:left="29" w:firstLine="480"/>
        <w:rPr>
          <w:rFonts w:hint="eastAsia" w:ascii="宋体"/>
          <w:bCs/>
          <w:szCs w:val="21"/>
        </w:rPr>
      </w:pPr>
      <w:r>
        <w:rPr>
          <w:rFonts w:hint="eastAsia" w:ascii="宋体"/>
          <w:bCs/>
          <w:szCs w:val="21"/>
        </w:rPr>
        <w:t>DL/T1091《火力发电厂锅炉炉膛安全监控系统技术规程》</w:t>
      </w:r>
    </w:p>
    <w:p>
      <w:pPr>
        <w:spacing w:line="360" w:lineRule="auto"/>
        <w:ind w:left="29" w:firstLine="480"/>
        <w:rPr>
          <w:rFonts w:hint="eastAsia" w:ascii="宋体"/>
          <w:bCs/>
          <w:szCs w:val="21"/>
        </w:rPr>
      </w:pPr>
      <w:r>
        <w:rPr>
          <w:rFonts w:hint="eastAsia" w:ascii="宋体"/>
          <w:bCs/>
          <w:szCs w:val="21"/>
        </w:rPr>
        <w:t>DL/T435《电站锅炉防爆规程》</w:t>
      </w:r>
    </w:p>
    <w:p>
      <w:pPr>
        <w:spacing w:line="360" w:lineRule="auto"/>
        <w:ind w:left="29" w:firstLine="480"/>
        <w:rPr>
          <w:rFonts w:hint="eastAsia" w:ascii="宋体"/>
          <w:bCs/>
          <w:szCs w:val="21"/>
        </w:rPr>
      </w:pPr>
      <w:r>
        <w:rPr>
          <w:rFonts w:hint="eastAsia" w:ascii="宋体"/>
          <w:bCs/>
          <w:szCs w:val="21"/>
        </w:rPr>
        <w:t>DL5000《火力发电厂设计技术规程》</w:t>
      </w:r>
    </w:p>
    <w:p>
      <w:pPr>
        <w:spacing w:line="360" w:lineRule="auto"/>
        <w:ind w:left="29" w:firstLine="480"/>
        <w:rPr>
          <w:rFonts w:hint="eastAsia" w:ascii="宋体"/>
          <w:bCs/>
          <w:szCs w:val="21"/>
        </w:rPr>
      </w:pPr>
      <w:r>
        <w:rPr>
          <w:rFonts w:hint="eastAsia" w:ascii="宋体"/>
          <w:bCs/>
          <w:szCs w:val="21"/>
        </w:rPr>
        <w:t>TSG D0001《压力管道安全技术监察规程－工业管道》</w:t>
      </w:r>
    </w:p>
    <w:p>
      <w:pPr>
        <w:spacing w:line="360" w:lineRule="auto"/>
        <w:ind w:left="29" w:firstLine="480"/>
        <w:rPr>
          <w:rFonts w:hint="eastAsia" w:ascii="宋体"/>
          <w:bCs/>
          <w:szCs w:val="21"/>
        </w:rPr>
      </w:pPr>
      <w:r>
        <w:rPr>
          <w:rFonts w:hint="eastAsia" w:ascii="宋体"/>
          <w:bCs/>
          <w:szCs w:val="21"/>
        </w:rPr>
        <w:t>GB/T20801《压力管道规范 工业管道》</w:t>
      </w:r>
    </w:p>
    <w:p>
      <w:pPr>
        <w:spacing w:line="360" w:lineRule="auto"/>
        <w:ind w:left="29" w:firstLine="480"/>
        <w:rPr>
          <w:rFonts w:hint="eastAsia" w:ascii="宋体"/>
          <w:bCs/>
          <w:szCs w:val="21"/>
        </w:rPr>
      </w:pPr>
      <w:r>
        <w:rPr>
          <w:rFonts w:hint="eastAsia" w:ascii="宋体"/>
          <w:bCs/>
          <w:szCs w:val="21"/>
        </w:rPr>
        <w:t>GB50229《火力发电厂与变电所设计防火规范》</w:t>
      </w:r>
    </w:p>
    <w:p>
      <w:pPr>
        <w:spacing w:line="360" w:lineRule="auto"/>
        <w:ind w:left="29" w:firstLine="480"/>
        <w:rPr>
          <w:rFonts w:hint="eastAsia" w:ascii="宋体"/>
          <w:bCs/>
          <w:szCs w:val="21"/>
        </w:rPr>
      </w:pPr>
      <w:r>
        <w:rPr>
          <w:rFonts w:hint="eastAsia" w:ascii="宋体"/>
          <w:bCs/>
          <w:szCs w:val="21"/>
        </w:rPr>
        <w:t xml:space="preserve"> 《电力工程电缆设计规范》</w:t>
      </w:r>
      <w:r>
        <w:rPr>
          <w:rFonts w:hint="eastAsia" w:ascii="宋体"/>
          <w:bCs/>
          <w:szCs w:val="21"/>
        </w:rPr>
        <w:tab/>
      </w:r>
      <w:r>
        <w:rPr>
          <w:rFonts w:hint="eastAsia" w:ascii="宋体"/>
          <w:bCs/>
          <w:szCs w:val="21"/>
        </w:rPr>
        <w:tab/>
      </w:r>
      <w:r>
        <w:rPr>
          <w:rFonts w:hint="eastAsia" w:ascii="宋体"/>
          <w:bCs/>
          <w:szCs w:val="21"/>
        </w:rPr>
        <w:t>GB50217-2007</w:t>
      </w:r>
    </w:p>
    <w:p>
      <w:pPr>
        <w:spacing w:line="360" w:lineRule="auto"/>
        <w:ind w:left="29" w:firstLine="480"/>
        <w:rPr>
          <w:rFonts w:hint="eastAsia" w:ascii="宋体"/>
          <w:bCs/>
          <w:szCs w:val="21"/>
        </w:rPr>
      </w:pPr>
      <w:r>
        <w:rPr>
          <w:rFonts w:hint="eastAsia" w:ascii="宋体"/>
          <w:bCs/>
          <w:szCs w:val="21"/>
        </w:rPr>
        <w:t xml:space="preserve"> 《低压配电设计规范》</w:t>
      </w:r>
      <w:r>
        <w:rPr>
          <w:rFonts w:hint="eastAsia" w:ascii="宋体"/>
          <w:bCs/>
          <w:szCs w:val="21"/>
        </w:rPr>
        <w:tab/>
      </w:r>
      <w:r>
        <w:rPr>
          <w:rFonts w:hint="eastAsia" w:ascii="宋体"/>
          <w:bCs/>
          <w:szCs w:val="21"/>
        </w:rPr>
        <w:t xml:space="preserve">        GB50054-2011</w:t>
      </w:r>
    </w:p>
    <w:p>
      <w:pPr>
        <w:spacing w:line="360" w:lineRule="auto"/>
        <w:ind w:left="29" w:firstLine="480"/>
        <w:rPr>
          <w:rFonts w:hint="eastAsia" w:ascii="宋体"/>
          <w:bCs/>
          <w:szCs w:val="21"/>
        </w:rPr>
      </w:pPr>
      <w:r>
        <w:rPr>
          <w:rFonts w:hint="eastAsia" w:ascii="宋体"/>
          <w:bCs/>
          <w:szCs w:val="21"/>
        </w:rPr>
        <w:t>中华人民共和国国家标准（GB）</w:t>
      </w:r>
    </w:p>
    <w:p>
      <w:pPr>
        <w:spacing w:line="360" w:lineRule="auto"/>
        <w:ind w:left="29" w:firstLine="480"/>
        <w:rPr>
          <w:rFonts w:hint="eastAsia" w:ascii="宋体"/>
          <w:bCs/>
          <w:szCs w:val="21"/>
        </w:rPr>
      </w:pPr>
      <w:r>
        <w:rPr>
          <w:rFonts w:hint="eastAsia" w:ascii="宋体"/>
          <w:bCs/>
          <w:szCs w:val="21"/>
        </w:rPr>
        <w:t>中华人民共和国电力行业标准（DL）</w:t>
      </w:r>
    </w:p>
    <w:p>
      <w:pPr>
        <w:spacing w:line="360" w:lineRule="auto"/>
        <w:ind w:left="29" w:firstLine="480"/>
        <w:rPr>
          <w:rFonts w:hint="eastAsia" w:ascii="宋体"/>
          <w:bCs/>
          <w:szCs w:val="21"/>
        </w:rPr>
      </w:pPr>
      <w:r>
        <w:rPr>
          <w:rFonts w:hint="eastAsia" w:ascii="宋体"/>
          <w:bCs/>
          <w:szCs w:val="21"/>
        </w:rPr>
        <w:t>SDJ279-90                电力建设施工及验收技术规范</w:t>
      </w:r>
    </w:p>
    <w:p>
      <w:pPr>
        <w:spacing w:line="360" w:lineRule="auto"/>
        <w:ind w:left="29" w:firstLine="480"/>
        <w:rPr>
          <w:rFonts w:hint="eastAsia" w:ascii="宋体"/>
          <w:bCs/>
          <w:szCs w:val="21"/>
        </w:rPr>
      </w:pPr>
      <w:r>
        <w:rPr>
          <w:rFonts w:hint="eastAsia" w:ascii="宋体"/>
          <w:bCs/>
          <w:szCs w:val="21"/>
        </w:rPr>
        <w:t>SAMA PMS 22.1            仪表和制造系统功能图表示</w:t>
      </w:r>
    </w:p>
    <w:p>
      <w:pPr>
        <w:spacing w:line="360" w:lineRule="auto"/>
        <w:ind w:firstLine="480"/>
        <w:rPr>
          <w:rFonts w:hint="eastAsia" w:ascii="宋体" w:hAnsi="宋体"/>
          <w:color w:val="000000"/>
          <w:szCs w:val="21"/>
        </w:rPr>
      </w:pPr>
      <w:r>
        <w:rPr>
          <w:rFonts w:hint="eastAsia" w:ascii="宋体" w:hAnsi="宋体"/>
          <w:color w:val="000000"/>
          <w:szCs w:val="21"/>
        </w:rPr>
        <w:t>GB5680                   高锰钢铸件</w:t>
      </w:r>
    </w:p>
    <w:p>
      <w:pPr>
        <w:spacing w:line="360" w:lineRule="auto"/>
        <w:ind w:firstLine="480"/>
        <w:rPr>
          <w:rFonts w:hint="eastAsia" w:ascii="宋体" w:hAnsi="宋体"/>
          <w:color w:val="000000"/>
          <w:szCs w:val="21"/>
        </w:rPr>
      </w:pPr>
      <w:r>
        <w:rPr>
          <w:rFonts w:hint="eastAsia" w:ascii="宋体" w:hAnsi="宋体"/>
          <w:color w:val="000000"/>
          <w:szCs w:val="21"/>
        </w:rPr>
        <w:t>GB150                    钢制压力容器</w:t>
      </w:r>
    </w:p>
    <w:p>
      <w:pPr>
        <w:spacing w:line="360" w:lineRule="auto"/>
        <w:ind w:firstLine="480"/>
        <w:rPr>
          <w:rFonts w:hint="eastAsia" w:ascii="宋体" w:hAnsi="宋体"/>
          <w:color w:val="000000"/>
          <w:szCs w:val="21"/>
        </w:rPr>
      </w:pPr>
      <w:r>
        <w:rPr>
          <w:rFonts w:hint="eastAsia" w:ascii="宋体" w:hAnsi="宋体"/>
          <w:color w:val="000000"/>
          <w:szCs w:val="21"/>
        </w:rPr>
        <w:t>JB/ZQ4286                包装通用技术条件</w:t>
      </w:r>
    </w:p>
    <w:p>
      <w:pPr>
        <w:spacing w:line="360" w:lineRule="auto"/>
        <w:ind w:firstLine="480"/>
        <w:rPr>
          <w:rFonts w:hint="eastAsia" w:ascii="宋体" w:hAnsi="宋体"/>
          <w:szCs w:val="21"/>
        </w:rPr>
      </w:pPr>
      <w:r>
        <w:rPr>
          <w:rFonts w:hint="eastAsia" w:ascii="宋体" w:hAnsi="宋体"/>
          <w:szCs w:val="21"/>
        </w:rPr>
        <w:t>DL/T600                  电力行业标准基本规定</w:t>
      </w:r>
    </w:p>
    <w:p>
      <w:pPr>
        <w:spacing w:line="360" w:lineRule="auto"/>
        <w:ind w:firstLine="480"/>
        <w:rPr>
          <w:rFonts w:hint="eastAsia" w:ascii="宋体" w:hAnsi="宋体"/>
          <w:szCs w:val="21"/>
        </w:rPr>
      </w:pPr>
      <w:r>
        <w:rPr>
          <w:rFonts w:hint="eastAsia" w:ascii="宋体" w:hAnsi="宋体"/>
          <w:szCs w:val="21"/>
        </w:rPr>
        <w:t>DL5000                   火力发电厂设计技术规程</w:t>
      </w:r>
    </w:p>
    <w:p>
      <w:pPr>
        <w:spacing w:line="360" w:lineRule="auto"/>
        <w:ind w:firstLine="480"/>
        <w:rPr>
          <w:rFonts w:hint="eastAsia" w:ascii="宋体" w:hAnsi="宋体"/>
          <w:color w:val="000000"/>
          <w:szCs w:val="21"/>
        </w:rPr>
      </w:pPr>
      <w:r>
        <w:rPr>
          <w:rFonts w:hint="eastAsia" w:ascii="宋体" w:hAnsi="宋体"/>
          <w:color w:val="000000"/>
          <w:szCs w:val="21"/>
        </w:rPr>
        <w:t>DL438                    火力发电厂金属技术监督规程</w:t>
      </w:r>
    </w:p>
    <w:p>
      <w:pPr>
        <w:spacing w:line="360" w:lineRule="auto"/>
        <w:ind w:firstLine="480"/>
        <w:rPr>
          <w:rFonts w:hint="eastAsia" w:ascii="宋体" w:hAnsi="宋体"/>
        </w:rPr>
      </w:pPr>
      <w:r>
        <w:rPr>
          <w:rFonts w:hint="eastAsia" w:ascii="宋体" w:hAnsi="宋体"/>
          <w:szCs w:val="21"/>
        </w:rPr>
        <w:t>DL/T715                  火力发电厂金属材料选用导则</w:t>
      </w:r>
    </w:p>
    <w:p>
      <w:pPr>
        <w:spacing w:line="360" w:lineRule="auto"/>
        <w:ind w:left="29" w:firstLine="480"/>
        <w:rPr>
          <w:rFonts w:hint="eastAsia" w:ascii="宋体"/>
          <w:bCs/>
          <w:szCs w:val="21"/>
        </w:rPr>
      </w:pPr>
      <w:r>
        <w:rPr>
          <w:rFonts w:hint="eastAsia" w:ascii="宋体"/>
          <w:bCs/>
          <w:szCs w:val="21"/>
        </w:rPr>
        <w:t>《火力发电厂锅炉炉膛安全监控系统验收测试规程》</w:t>
      </w:r>
    </w:p>
    <w:p>
      <w:pPr>
        <w:spacing w:line="360" w:lineRule="auto"/>
        <w:ind w:left="29" w:firstLine="480"/>
        <w:rPr>
          <w:rFonts w:hint="eastAsia" w:ascii="宋体"/>
          <w:bCs/>
          <w:szCs w:val="21"/>
        </w:rPr>
      </w:pPr>
      <w:r>
        <w:rPr>
          <w:rFonts w:hint="eastAsia" w:ascii="宋体"/>
          <w:bCs/>
          <w:szCs w:val="21"/>
        </w:rPr>
        <w:t>《大型煤粉锅炉炉膛及燃烧器性能设计规范》JB/T 10440</w:t>
      </w:r>
    </w:p>
    <w:p>
      <w:pPr>
        <w:spacing w:line="360" w:lineRule="auto"/>
        <w:ind w:left="29" w:firstLine="480"/>
        <w:rPr>
          <w:rFonts w:hint="eastAsia" w:ascii="宋体"/>
          <w:bCs/>
          <w:szCs w:val="21"/>
        </w:rPr>
      </w:pPr>
      <w:r>
        <w:rPr>
          <w:rFonts w:hint="eastAsia" w:ascii="宋体"/>
          <w:bCs/>
          <w:szCs w:val="21"/>
        </w:rPr>
        <w:t>《电站煤粉锅炉炉膛防爆规程》DL/T 435</w:t>
      </w:r>
    </w:p>
    <w:p>
      <w:pPr>
        <w:spacing w:line="360" w:lineRule="auto"/>
        <w:ind w:left="29" w:firstLine="480"/>
        <w:rPr>
          <w:rFonts w:hint="eastAsia" w:ascii="宋体"/>
          <w:bCs/>
          <w:szCs w:val="21"/>
        </w:rPr>
      </w:pPr>
      <w:r>
        <w:rPr>
          <w:rFonts w:hint="eastAsia" w:ascii="宋体"/>
          <w:bCs/>
          <w:szCs w:val="21"/>
        </w:rPr>
        <w:t>《火力发电厂设计技术规程》DL5000</w:t>
      </w:r>
    </w:p>
    <w:p>
      <w:pPr>
        <w:spacing w:line="360" w:lineRule="auto"/>
        <w:ind w:left="29" w:firstLine="480"/>
        <w:rPr>
          <w:rFonts w:hint="eastAsia" w:ascii="宋体"/>
          <w:bCs/>
          <w:szCs w:val="21"/>
        </w:rPr>
      </w:pPr>
      <w:r>
        <w:rPr>
          <w:rFonts w:hint="eastAsia" w:ascii="宋体"/>
          <w:bCs/>
          <w:szCs w:val="21"/>
        </w:rPr>
        <w:t>《电力工程制图标准》DL5028</w:t>
      </w:r>
    </w:p>
    <w:p>
      <w:pPr>
        <w:spacing w:line="360" w:lineRule="auto"/>
        <w:ind w:left="29" w:firstLine="480"/>
        <w:rPr>
          <w:rFonts w:hint="eastAsia" w:ascii="宋体"/>
          <w:bCs/>
          <w:szCs w:val="21"/>
        </w:rPr>
      </w:pPr>
      <w:r>
        <w:rPr>
          <w:rFonts w:hint="eastAsia" w:ascii="宋体"/>
          <w:bCs/>
          <w:szCs w:val="21"/>
        </w:rPr>
        <w:t>《火力发电厂烟风煤粉管道设计技术规程》DL/T5121</w:t>
      </w:r>
    </w:p>
    <w:p>
      <w:pPr>
        <w:spacing w:line="360" w:lineRule="auto"/>
        <w:ind w:left="29" w:firstLine="480"/>
        <w:rPr>
          <w:rFonts w:hint="eastAsia" w:ascii="宋体"/>
          <w:bCs/>
          <w:szCs w:val="21"/>
        </w:rPr>
      </w:pPr>
      <w:r>
        <w:rPr>
          <w:rFonts w:hint="eastAsia" w:ascii="宋体"/>
          <w:bCs/>
          <w:szCs w:val="21"/>
        </w:rPr>
        <w:t>《钢结构设计规范》GB 50017</w:t>
      </w:r>
    </w:p>
    <w:p>
      <w:pPr>
        <w:spacing w:line="360" w:lineRule="auto"/>
        <w:ind w:left="29" w:firstLine="480"/>
        <w:rPr>
          <w:rFonts w:hint="eastAsia" w:ascii="宋体"/>
          <w:bCs/>
          <w:szCs w:val="21"/>
        </w:rPr>
      </w:pPr>
      <w:r>
        <w:rPr>
          <w:rFonts w:hint="eastAsia" w:ascii="宋体"/>
          <w:bCs/>
          <w:szCs w:val="21"/>
        </w:rPr>
        <w:t>《火力发电厂保温油漆设计规程》DL/T5072</w:t>
      </w:r>
    </w:p>
    <w:p>
      <w:pPr>
        <w:spacing w:line="360" w:lineRule="auto"/>
        <w:ind w:left="29" w:firstLine="480"/>
        <w:rPr>
          <w:rFonts w:hint="eastAsia" w:ascii="宋体"/>
          <w:bCs/>
          <w:szCs w:val="21"/>
        </w:rPr>
      </w:pPr>
      <w:r>
        <w:rPr>
          <w:rFonts w:hint="eastAsia" w:ascii="宋体"/>
          <w:bCs/>
          <w:szCs w:val="21"/>
        </w:rPr>
        <w:t>《火力发电厂劳动安全和工业卫生设计规程》DL5053</w:t>
      </w:r>
    </w:p>
    <w:p>
      <w:pPr>
        <w:spacing w:line="360" w:lineRule="auto"/>
        <w:ind w:left="29" w:firstLine="480"/>
        <w:rPr>
          <w:rFonts w:hint="eastAsia" w:ascii="宋体"/>
          <w:bCs/>
          <w:szCs w:val="21"/>
        </w:rPr>
      </w:pPr>
      <w:r>
        <w:rPr>
          <w:rFonts w:hint="eastAsia" w:ascii="宋体"/>
          <w:bCs/>
          <w:szCs w:val="21"/>
        </w:rPr>
        <w:t>《电力建设施工及验收技术规范（锅炉机组篇）》DL/T5047</w:t>
      </w:r>
    </w:p>
    <w:p>
      <w:pPr>
        <w:spacing w:line="360" w:lineRule="auto"/>
        <w:ind w:left="29" w:firstLine="480"/>
        <w:rPr>
          <w:rFonts w:hint="eastAsia" w:ascii="宋体"/>
          <w:bCs/>
          <w:szCs w:val="21"/>
        </w:rPr>
      </w:pPr>
      <w:r>
        <w:rPr>
          <w:rFonts w:hint="eastAsia" w:ascii="宋体"/>
          <w:bCs/>
          <w:szCs w:val="21"/>
        </w:rPr>
        <w:t xml:space="preserve">《火力发电厂焊接技术规程》DL869 </w:t>
      </w:r>
    </w:p>
    <w:p>
      <w:pPr>
        <w:spacing w:line="360" w:lineRule="auto"/>
        <w:ind w:left="29" w:firstLine="480"/>
        <w:rPr>
          <w:rFonts w:hint="eastAsia" w:ascii="宋体"/>
          <w:bCs/>
          <w:szCs w:val="21"/>
        </w:rPr>
      </w:pPr>
      <w:r>
        <w:rPr>
          <w:rFonts w:hint="eastAsia" w:ascii="宋体"/>
          <w:bCs/>
          <w:szCs w:val="21"/>
        </w:rPr>
        <w:t>《机械设备安装工程施工及验收通用规范机械工业部发》JBJ23</w:t>
      </w:r>
    </w:p>
    <w:p>
      <w:pPr>
        <w:spacing w:line="360" w:lineRule="auto"/>
        <w:ind w:left="29" w:firstLine="480"/>
        <w:rPr>
          <w:rFonts w:hint="eastAsia" w:ascii="宋体" w:hAnsi="宋体" w:cs="Arial"/>
          <w:b/>
          <w:szCs w:val="21"/>
        </w:rPr>
      </w:pPr>
      <w:r>
        <w:rPr>
          <w:rFonts w:hint="eastAsia" w:ascii="宋体" w:hAnsi="宋体"/>
          <w:szCs w:val="21"/>
        </w:rPr>
        <w:t>2.2 如本技术协议与上述规范、标准明显抵触的条文，乙方应及时通知甲方进行书面解决。</w:t>
      </w:r>
    </w:p>
    <w:p>
      <w:pPr>
        <w:spacing w:line="360" w:lineRule="auto"/>
        <w:ind w:left="-450" w:leftChars="-225" w:right="-422" w:rightChars="-211" w:firstLine="482"/>
        <w:outlineLvl w:val="1"/>
        <w:rPr>
          <w:rFonts w:hint="eastAsia" w:ascii="宋体" w:hAnsi="宋体" w:cs="Arial"/>
          <w:b/>
          <w:szCs w:val="21"/>
        </w:rPr>
      </w:pPr>
      <w:r>
        <w:rPr>
          <w:rFonts w:hint="eastAsia" w:ascii="宋体" w:hAnsi="宋体" w:cs="Arial"/>
          <w:b/>
          <w:szCs w:val="21"/>
        </w:rPr>
        <w:t>3设备技术要求</w:t>
      </w:r>
    </w:p>
    <w:p>
      <w:pPr>
        <w:spacing w:line="360" w:lineRule="auto"/>
        <w:ind w:firstLine="480"/>
        <w:rPr>
          <w:rFonts w:hint="eastAsia" w:ascii="宋体" w:hAnsi="宋体" w:cs="Arial"/>
          <w:szCs w:val="21"/>
        </w:rPr>
      </w:pPr>
      <w:r>
        <w:rPr>
          <w:rFonts w:hint="eastAsia" w:ascii="宋体"/>
          <w:bCs/>
          <w:szCs w:val="21"/>
          <w:highlight w:val="yellow"/>
        </w:rPr>
        <w:t>乙方提供的</w:t>
      </w:r>
      <w:r>
        <w:rPr>
          <w:rFonts w:hint="eastAsia" w:ascii="宋体"/>
          <w:bCs/>
          <w:szCs w:val="21"/>
          <w:highlight w:val="yellow"/>
          <w:lang w:eastAsia="zh-CN"/>
        </w:rPr>
        <w:t>调试用油</w:t>
      </w:r>
      <w:r>
        <w:rPr>
          <w:rFonts w:hint="eastAsia" w:ascii="宋体"/>
          <w:bCs/>
          <w:szCs w:val="21"/>
          <w:highlight w:val="yellow"/>
        </w:rPr>
        <w:t>需满足现场</w:t>
      </w:r>
      <w:r>
        <w:rPr>
          <w:rFonts w:hint="eastAsia" w:ascii="宋体"/>
          <w:bCs/>
          <w:szCs w:val="21"/>
          <w:highlight w:val="yellow"/>
          <w:lang w:eastAsia="zh-CN"/>
        </w:rPr>
        <w:t>项目</w:t>
      </w:r>
      <w:r>
        <w:rPr>
          <w:rFonts w:hint="eastAsia" w:ascii="宋体"/>
          <w:bCs/>
          <w:szCs w:val="21"/>
          <w:highlight w:val="yellow"/>
        </w:rPr>
        <w:t>需要，如有偏差，无条件负责更换</w:t>
      </w:r>
      <w:r>
        <w:rPr>
          <w:rFonts w:hint="eastAsia" w:ascii="宋体"/>
          <w:bCs/>
          <w:szCs w:val="21"/>
        </w:rPr>
        <w:t>。</w:t>
      </w:r>
    </w:p>
    <w:bookmarkEnd w:id="2"/>
    <w:bookmarkEnd w:id="3"/>
    <w:p>
      <w:pPr>
        <w:spacing w:line="360" w:lineRule="auto"/>
        <w:ind w:left="-450" w:leftChars="-225" w:right="-422" w:rightChars="-211" w:firstLine="482"/>
        <w:outlineLvl w:val="1"/>
        <w:rPr>
          <w:rFonts w:hint="eastAsia" w:ascii="宋体" w:hAnsi="宋体" w:cs="Arial"/>
          <w:b/>
          <w:szCs w:val="21"/>
        </w:rPr>
      </w:pPr>
      <w:r>
        <w:rPr>
          <w:rFonts w:hint="eastAsia" w:ascii="宋体" w:hAnsi="宋体" w:cs="Arial"/>
          <w:b/>
          <w:szCs w:val="21"/>
        </w:rPr>
        <w:t>4设备供货范围</w:t>
      </w:r>
    </w:p>
    <w:p>
      <w:pPr>
        <w:spacing w:line="360" w:lineRule="auto"/>
        <w:ind w:right="-422" w:rightChars="-211" w:firstLine="480"/>
        <w:rPr>
          <w:rFonts w:hint="eastAsia" w:ascii="宋体" w:hAnsi="宋体"/>
          <w:szCs w:val="21"/>
        </w:rPr>
      </w:pPr>
      <w:r>
        <w:rPr>
          <w:rFonts w:hint="eastAsia" w:ascii="宋体" w:hAnsi="宋体"/>
          <w:szCs w:val="21"/>
          <w:highlight w:val="yellow"/>
        </w:rPr>
        <w:t>本节规定了供货范围，乙方保证提供的</w:t>
      </w:r>
      <w:r>
        <w:rPr>
          <w:rFonts w:hint="eastAsia" w:ascii="宋体" w:hAnsi="宋体"/>
          <w:szCs w:val="21"/>
          <w:highlight w:val="yellow"/>
          <w:lang w:eastAsia="zh-CN"/>
        </w:rPr>
        <w:t>材料</w:t>
      </w:r>
      <w:r>
        <w:rPr>
          <w:rFonts w:hint="eastAsia" w:ascii="宋体" w:hAnsi="宋体"/>
          <w:color w:val="000000"/>
          <w:szCs w:val="21"/>
          <w:highlight w:val="yellow"/>
        </w:rPr>
        <w:t>是先进可靠的全新产品，</w:t>
      </w:r>
      <w:r>
        <w:rPr>
          <w:rFonts w:hint="eastAsia" w:ascii="宋体" w:hAnsi="宋体"/>
          <w:szCs w:val="21"/>
          <w:highlight w:val="yellow"/>
        </w:rPr>
        <w:t>且符合本协议的技术要求</w:t>
      </w:r>
      <w:r>
        <w:rPr>
          <w:rFonts w:hint="eastAsia" w:ascii="宋体" w:hAnsi="宋体"/>
          <w:szCs w:val="21"/>
        </w:rPr>
        <w:t>。</w:t>
      </w:r>
    </w:p>
    <w:p>
      <w:pPr>
        <w:spacing w:line="360" w:lineRule="auto"/>
        <w:ind w:left="-450" w:leftChars="-225" w:right="-422" w:rightChars="-211" w:firstLine="803" w:firstLineChars="400"/>
        <w:rPr>
          <w:rFonts w:hint="eastAsia"/>
          <w:b/>
        </w:rPr>
      </w:pPr>
      <w:r>
        <w:rPr>
          <w:b/>
        </w:rPr>
        <w:t xml:space="preserve">4.1 </w:t>
      </w:r>
      <w:r>
        <w:rPr>
          <w:rFonts w:hint="eastAsia"/>
          <w:b/>
          <w:lang w:eastAsia="zh-CN"/>
        </w:rPr>
        <w:t>调试用油</w:t>
      </w:r>
      <w:r>
        <w:rPr>
          <w:rFonts w:hint="eastAsia"/>
          <w:b/>
        </w:rPr>
        <w:t>供货设备清单</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2069"/>
        <w:gridCol w:w="1917"/>
        <w:gridCol w:w="737"/>
        <w:gridCol w:w="889"/>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rFonts w:hint="eastAsia"/>
                <w:sz w:val="22"/>
                <w:szCs w:val="21"/>
              </w:rPr>
              <w:t>序号</w:t>
            </w:r>
          </w:p>
        </w:tc>
        <w:tc>
          <w:tcPr>
            <w:tcW w:w="121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rFonts w:hint="eastAsia"/>
                <w:sz w:val="22"/>
                <w:szCs w:val="21"/>
              </w:rPr>
              <w:t>名称</w:t>
            </w:r>
          </w:p>
        </w:tc>
        <w:tc>
          <w:tcPr>
            <w:tcW w:w="112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highlight w:val="yellow"/>
              </w:rPr>
            </w:pPr>
            <w:r>
              <w:rPr>
                <w:rFonts w:hint="eastAsia"/>
                <w:b/>
                <w:szCs w:val="24"/>
                <w:lang w:eastAsia="zh-CN"/>
              </w:rPr>
              <w:t>油品牌号</w:t>
            </w:r>
            <w:r>
              <w:rPr>
                <w:rFonts w:hint="eastAsia"/>
                <w:b/>
                <w:szCs w:val="24"/>
                <w:lang w:val="en-US" w:eastAsia="zh-CN"/>
              </w:rPr>
              <w:t>/</w:t>
            </w:r>
            <w:r>
              <w:rPr>
                <w:rFonts w:hint="eastAsia"/>
                <w:b/>
                <w:szCs w:val="24"/>
                <w:lang w:eastAsia="zh-CN"/>
              </w:rPr>
              <w:t>规格</w:t>
            </w:r>
          </w:p>
        </w:tc>
        <w:tc>
          <w:tcPr>
            <w:tcW w:w="4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rFonts w:hint="eastAsia"/>
                <w:sz w:val="22"/>
                <w:szCs w:val="21"/>
              </w:rPr>
              <w:t>单位</w:t>
            </w:r>
          </w:p>
        </w:tc>
        <w:tc>
          <w:tcPr>
            <w:tcW w:w="52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rFonts w:hint="eastAsia"/>
                <w:sz w:val="22"/>
                <w:szCs w:val="21"/>
              </w:rPr>
              <w:t>数量</w:t>
            </w:r>
          </w:p>
        </w:tc>
        <w:tc>
          <w:tcPr>
            <w:tcW w:w="8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rFonts w:hint="eastAsia"/>
                <w:sz w:val="2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sz w:val="22"/>
                <w:szCs w:val="21"/>
              </w:rPr>
              <w:t>1</w:t>
            </w:r>
          </w:p>
        </w:tc>
        <w:tc>
          <w:tcPr>
            <w:tcW w:w="121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rPr>
            </w:pPr>
            <w:r>
              <w:rPr>
                <w:rFonts w:hint="eastAsia" w:ascii="Times New Roman" w:hAnsi="宋体" w:eastAsia="宋体" w:cs="宋体"/>
                <w:bCs/>
                <w:snapToGrid/>
                <w:color w:val="000000"/>
                <w:kern w:val="0"/>
                <w:sz w:val="21"/>
                <w:szCs w:val="21"/>
                <w:highlight w:val="yellow"/>
                <w:lang w:val="en-US" w:eastAsia="zh-CN" w:bidi="ar"/>
              </w:rPr>
              <w:t>润滑油</w:t>
            </w:r>
          </w:p>
        </w:tc>
        <w:tc>
          <w:tcPr>
            <w:tcW w:w="112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2"/>
                <w:szCs w:val="21"/>
                <w:highlight w:val="yellow"/>
              </w:rPr>
            </w:pPr>
            <w:r>
              <w:rPr>
                <w:rFonts w:hint="eastAsia" w:ascii="Times New Roman" w:hAnsi="宋体" w:eastAsia="宋体" w:cs="宋体"/>
                <w:bCs/>
                <w:snapToGrid/>
                <w:color w:val="000000"/>
                <w:kern w:val="0"/>
                <w:sz w:val="21"/>
                <w:szCs w:val="21"/>
                <w:highlight w:val="yellow"/>
                <w:lang w:val="en-US" w:eastAsia="zh-CN" w:bidi="ar"/>
              </w:rPr>
              <w:t>美孚</w:t>
            </w:r>
            <w:r>
              <w:rPr>
                <w:rFonts w:hint="default" w:ascii="Times New Roman" w:hAnsi="Times New Roman" w:eastAsia="宋体" w:cs="Times New Roman"/>
                <w:bCs/>
                <w:snapToGrid/>
                <w:color w:val="000000"/>
                <w:kern w:val="0"/>
                <w:sz w:val="21"/>
                <w:szCs w:val="21"/>
                <w:highlight w:val="yellow"/>
                <w:lang w:val="en-US" w:eastAsia="zh-CN" w:bidi="ar"/>
              </w:rPr>
              <w:t>dte25</w:t>
            </w:r>
            <w:r>
              <w:rPr>
                <w:rFonts w:hint="eastAsia" w:ascii="Times New Roman" w:hAnsi="Times New Roman" w:eastAsia="宋体" w:cs="Times New Roman"/>
                <w:bCs/>
                <w:snapToGrid/>
                <w:color w:val="000000"/>
                <w:kern w:val="0"/>
                <w:sz w:val="21"/>
                <w:szCs w:val="21"/>
                <w:highlight w:val="yellow"/>
                <w:lang w:val="en-US" w:eastAsia="zh-CN" w:bidi="ar"/>
              </w:rPr>
              <w:t>、</w:t>
            </w:r>
            <w:r>
              <w:rPr>
                <w:rFonts w:hint="default" w:ascii="Times New Roman" w:hAnsi="Times New Roman" w:eastAsia="宋体" w:cs="Times New Roman"/>
                <w:bCs/>
                <w:snapToGrid/>
                <w:color w:val="000000"/>
                <w:kern w:val="0"/>
                <w:sz w:val="21"/>
                <w:szCs w:val="21"/>
                <w:highlight w:val="yellow"/>
                <w:lang w:val="en-US" w:eastAsia="zh-CN" w:bidi="ar"/>
              </w:rPr>
              <w:t>200(L/</w:t>
            </w:r>
            <w:r>
              <w:rPr>
                <w:rFonts w:hint="eastAsia" w:ascii="Times New Roman" w:hAnsi="宋体" w:eastAsia="宋体" w:cs="宋体"/>
                <w:bCs/>
                <w:snapToGrid/>
                <w:color w:val="000000"/>
                <w:kern w:val="0"/>
                <w:sz w:val="21"/>
                <w:szCs w:val="21"/>
                <w:highlight w:val="yellow"/>
                <w:lang w:val="en-US" w:eastAsia="zh-CN" w:bidi="ar"/>
              </w:rPr>
              <w:t>桶）</w:t>
            </w:r>
          </w:p>
        </w:tc>
        <w:tc>
          <w:tcPr>
            <w:tcW w:w="43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宋体"/>
                <w:sz w:val="22"/>
                <w:szCs w:val="21"/>
                <w:vertAlign w:val="superscript"/>
                <w:lang w:eastAsia="zh-CN"/>
              </w:rPr>
            </w:pPr>
            <w:r>
              <w:rPr>
                <w:rFonts w:hint="eastAsia"/>
                <w:sz w:val="22"/>
                <w:szCs w:val="21"/>
                <w:lang w:eastAsia="zh-CN"/>
              </w:rPr>
              <w:t>桶</w:t>
            </w:r>
          </w:p>
        </w:tc>
        <w:tc>
          <w:tcPr>
            <w:tcW w:w="52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val="0"/>
                <w:bCs/>
                <w:sz w:val="22"/>
                <w:szCs w:val="21"/>
              </w:rPr>
            </w:pPr>
            <w:r>
              <w:rPr>
                <w:rFonts w:hint="eastAsia"/>
                <w:b w:val="0"/>
                <w:bCs/>
                <w:sz w:val="22"/>
                <w:szCs w:val="21"/>
                <w:lang w:val="en-US" w:eastAsia="zh-CN"/>
              </w:rPr>
              <w:t>6</w:t>
            </w:r>
          </w:p>
        </w:tc>
        <w:tc>
          <w:tcPr>
            <w:tcW w:w="83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b w:val="0"/>
                <w:bCs/>
                <w:sz w:val="22"/>
                <w:szCs w:val="21"/>
                <w:lang w:val="en-US"/>
              </w:rPr>
            </w:pPr>
            <w:r>
              <w:rPr>
                <w:rFonts w:hint="eastAsia"/>
                <w:b w:val="0"/>
                <w:bCs/>
                <w:sz w:val="21"/>
                <w:szCs w:val="21"/>
                <w:lang w:eastAsia="zh-CN"/>
              </w:rPr>
              <w:t>美孚</w:t>
            </w:r>
            <w:r>
              <w:rPr>
                <w:rFonts w:hint="eastAsia"/>
                <w:b w:val="0"/>
                <w:bCs/>
                <w:sz w:val="21"/>
                <w:szCs w:val="21"/>
                <w:lang w:val="en-US" w:eastAsia="zh-CN"/>
              </w:rPr>
              <w:t>Mobil</w:t>
            </w:r>
            <w:r>
              <w:rPr>
                <w:rFonts w:hint="eastAsia"/>
                <w:b w:val="0"/>
                <w:bCs/>
                <w:sz w:val="21"/>
                <w:szCs w:val="21"/>
                <w:lang w:eastAsia="zh-CN"/>
              </w:rPr>
              <w:t>；每桶</w:t>
            </w:r>
            <w:r>
              <w:rPr>
                <w:rFonts w:hint="eastAsia"/>
                <w:b w:val="0"/>
                <w:bCs/>
                <w:sz w:val="21"/>
                <w:szCs w:val="21"/>
                <w:lang w:val="en-US" w:eastAsia="zh-CN"/>
              </w:rPr>
              <w:t>200升</w:t>
            </w:r>
          </w:p>
        </w:tc>
      </w:tr>
    </w:tbl>
    <w:p>
      <w:pPr>
        <w:spacing w:line="360" w:lineRule="auto"/>
        <w:ind w:right="-422" w:rightChars="-211" w:firstLine="167" w:firstLineChars="83"/>
        <w:rPr>
          <w:b/>
        </w:rPr>
      </w:pPr>
      <w:bookmarkStart w:id="8" w:name="_GoBack"/>
      <w:bookmarkEnd w:id="8"/>
    </w:p>
    <w:p>
      <w:pPr>
        <w:spacing w:line="360" w:lineRule="auto"/>
        <w:ind w:left="-450" w:leftChars="-225" w:right="-422" w:rightChars="-211" w:firstLine="482"/>
        <w:outlineLvl w:val="1"/>
        <w:rPr>
          <w:rFonts w:ascii="宋体" w:hAnsi="宋体" w:cs="Arial"/>
          <w:b/>
          <w:szCs w:val="21"/>
        </w:rPr>
      </w:pPr>
      <w:r>
        <w:rPr>
          <w:rFonts w:hint="eastAsia" w:ascii="宋体" w:hAnsi="宋体" w:cs="Arial"/>
          <w:b/>
          <w:szCs w:val="21"/>
        </w:rPr>
        <w:t>5 交货进度</w:t>
      </w:r>
    </w:p>
    <w:p>
      <w:pPr>
        <w:ind w:firstLine="420"/>
        <w:rPr>
          <w:rFonts w:hint="eastAsia"/>
        </w:rPr>
      </w:pPr>
      <w:r>
        <w:rPr>
          <w:rFonts w:hint="eastAsia" w:ascii="宋体" w:hAnsi="宋体"/>
          <w:color w:val="000000"/>
          <w:szCs w:val="21"/>
        </w:rPr>
        <w:t xml:space="preserve">5.1 </w:t>
      </w:r>
      <w:r>
        <w:rPr>
          <w:rFonts w:hint="eastAsia" w:ascii="宋体" w:hAnsi="宋体"/>
          <w:sz w:val="21"/>
          <w:szCs w:val="21"/>
          <w:highlight w:val="yellow"/>
        </w:rPr>
        <w:t>合同签订后</w:t>
      </w:r>
      <w:r>
        <w:rPr>
          <w:rFonts w:hint="eastAsia"/>
          <w:sz w:val="21"/>
          <w:szCs w:val="21"/>
          <w:highlight w:val="yellow"/>
        </w:rPr>
        <w:t>10</w:t>
      </w:r>
      <w:r>
        <w:rPr>
          <w:rFonts w:hint="eastAsia" w:ascii="宋体" w:hAnsi="宋体"/>
          <w:sz w:val="21"/>
          <w:szCs w:val="21"/>
          <w:highlight w:val="yellow"/>
        </w:rPr>
        <w:t>天或以甲方通知交货时间为准</w:t>
      </w:r>
      <w:r>
        <w:rPr>
          <w:rFonts w:hint="eastAsia" w:ascii="宋体" w:hAnsi="宋体"/>
          <w:szCs w:val="21"/>
        </w:rPr>
        <w:t>。</w:t>
      </w:r>
    </w:p>
    <w:p>
      <w:pPr>
        <w:spacing w:line="300" w:lineRule="auto"/>
        <w:ind w:firstLine="480"/>
        <w:rPr>
          <w:rFonts w:hint="eastAsia" w:ascii="宋体" w:hAnsi="宋体"/>
          <w:color w:val="000000"/>
          <w:szCs w:val="21"/>
        </w:rPr>
      </w:pPr>
      <w:r>
        <w:rPr>
          <w:rFonts w:hint="eastAsia" w:ascii="宋体" w:hAnsi="宋体"/>
          <w:color w:val="000000"/>
          <w:szCs w:val="21"/>
        </w:rPr>
        <w:t>5.2设备交货进度、顺序要满足工程进度的要求，交货时间以到货验收合格时间为准。</w:t>
      </w:r>
    </w:p>
    <w:p>
      <w:pPr>
        <w:spacing w:line="300" w:lineRule="auto"/>
        <w:ind w:firstLine="480"/>
        <w:rPr>
          <w:rFonts w:hint="eastAsia" w:ascii="宋体" w:hAnsi="宋体"/>
          <w:color w:val="000000"/>
          <w:szCs w:val="21"/>
        </w:rPr>
      </w:pPr>
      <w:r>
        <w:rPr>
          <w:rFonts w:hint="eastAsia" w:ascii="宋体" w:hAnsi="宋体"/>
          <w:color w:val="000000"/>
          <w:szCs w:val="21"/>
        </w:rPr>
        <w:t>5.3交货地点为：</w:t>
      </w:r>
      <w:r>
        <w:rPr>
          <w:rFonts w:hint="eastAsia" w:ascii="宋体" w:hAnsi="宋体"/>
          <w:color w:val="000000"/>
          <w:szCs w:val="21"/>
          <w:highlight w:val="yellow"/>
        </w:rPr>
        <w:t>内蒙古大唐国际托克托发电有限责任公司施工现场</w:t>
      </w:r>
      <w:r>
        <w:rPr>
          <w:rFonts w:hint="eastAsia" w:ascii="宋体" w:hAnsi="宋体"/>
          <w:color w:val="000000"/>
          <w:szCs w:val="21"/>
        </w:rPr>
        <w:t>。</w:t>
      </w:r>
    </w:p>
    <w:p>
      <w:pPr>
        <w:spacing w:line="300" w:lineRule="auto"/>
        <w:ind w:firstLine="480"/>
        <w:rPr>
          <w:rFonts w:hint="eastAsia" w:ascii="宋体" w:hAnsi="宋体"/>
          <w:color w:val="000000"/>
          <w:szCs w:val="21"/>
        </w:rPr>
      </w:pPr>
      <w:r>
        <w:rPr>
          <w:rFonts w:hint="eastAsia" w:ascii="宋体" w:hAnsi="宋体"/>
          <w:color w:val="000000"/>
          <w:szCs w:val="21"/>
        </w:rPr>
        <w:t>5.4乙方在中标后，乙方按最终用户要求定期向甲方提供备件到货计划。</w:t>
      </w:r>
    </w:p>
    <w:p>
      <w:pPr>
        <w:spacing w:line="360" w:lineRule="auto"/>
        <w:ind w:left="-450" w:leftChars="-225" w:right="-422" w:rightChars="-211" w:firstLine="482"/>
        <w:outlineLvl w:val="1"/>
        <w:rPr>
          <w:rFonts w:hint="eastAsia" w:ascii="宋体" w:hAnsi="宋体" w:cs="Arial"/>
          <w:b/>
          <w:szCs w:val="21"/>
        </w:rPr>
      </w:pPr>
      <w:r>
        <w:rPr>
          <w:rFonts w:hint="eastAsia" w:ascii="宋体" w:hAnsi="宋体" w:cs="Arial"/>
          <w:b/>
          <w:szCs w:val="21"/>
        </w:rPr>
        <w:t>6、包装、运输和贮存</w:t>
      </w:r>
    </w:p>
    <w:p>
      <w:pPr>
        <w:spacing w:line="300" w:lineRule="auto"/>
        <w:ind w:firstLine="480"/>
        <w:outlineLvl w:val="2"/>
        <w:rPr>
          <w:rFonts w:hint="eastAsia" w:ascii="宋体" w:hAnsi="宋体"/>
          <w:color w:val="000000"/>
          <w:szCs w:val="21"/>
        </w:rPr>
      </w:pPr>
      <w:bookmarkStart w:id="4" w:name="_Toc500751151"/>
      <w:r>
        <w:rPr>
          <w:rFonts w:hint="eastAsia" w:ascii="宋体" w:hAnsi="宋体"/>
          <w:color w:val="000000"/>
          <w:szCs w:val="21"/>
        </w:rPr>
        <w:t>6.1 概述</w:t>
      </w:r>
      <w:bookmarkEnd w:id="4"/>
    </w:p>
    <w:p>
      <w:pPr>
        <w:spacing w:line="300" w:lineRule="auto"/>
        <w:ind w:firstLine="480"/>
        <w:rPr>
          <w:rFonts w:hint="eastAsia" w:ascii="宋体" w:hAnsi="宋体"/>
          <w:color w:val="000000"/>
          <w:szCs w:val="21"/>
        </w:rPr>
      </w:pPr>
      <w:r>
        <w:rPr>
          <w:rFonts w:hint="eastAsia" w:ascii="宋体" w:hAnsi="宋体"/>
          <w:color w:val="000000"/>
          <w:szCs w:val="21"/>
        </w:rPr>
        <w:t>6.1.1乙方应合理包装所提供的设备和器材，防止运输和贮存中的磨损和破坏。</w:t>
      </w:r>
    </w:p>
    <w:p>
      <w:pPr>
        <w:spacing w:line="300" w:lineRule="auto"/>
        <w:ind w:firstLine="480"/>
        <w:rPr>
          <w:rFonts w:hint="eastAsia" w:ascii="宋体" w:hAnsi="宋体"/>
          <w:color w:val="000000"/>
          <w:szCs w:val="21"/>
        </w:rPr>
      </w:pPr>
      <w:r>
        <w:rPr>
          <w:rFonts w:hint="eastAsia" w:ascii="宋体" w:hAnsi="宋体"/>
          <w:color w:val="000000"/>
          <w:szCs w:val="21"/>
        </w:rPr>
        <w:t>6.1.2对一些特殊设备，乙方应根据制造厂关于设备包装、运输、贮存的要求，提供给最终用户有关设备的注意事项、具体措施及有关附加条件。</w:t>
      </w:r>
    </w:p>
    <w:p>
      <w:pPr>
        <w:spacing w:line="300" w:lineRule="auto"/>
        <w:ind w:firstLine="480"/>
        <w:rPr>
          <w:rFonts w:hint="eastAsia" w:ascii="宋体" w:hAnsi="宋体"/>
          <w:color w:val="000000"/>
          <w:szCs w:val="21"/>
        </w:rPr>
      </w:pPr>
      <w:r>
        <w:rPr>
          <w:rFonts w:hint="eastAsia" w:ascii="宋体" w:hAnsi="宋体"/>
          <w:color w:val="000000"/>
          <w:szCs w:val="21"/>
        </w:rPr>
        <w:t>6.1.3本章未尽事宜，遵守招标文件商务部分的规定。</w:t>
      </w:r>
    </w:p>
    <w:p>
      <w:pPr>
        <w:spacing w:line="300" w:lineRule="auto"/>
        <w:ind w:firstLine="480"/>
        <w:outlineLvl w:val="2"/>
        <w:rPr>
          <w:rFonts w:hint="eastAsia" w:ascii="宋体" w:hAnsi="宋体"/>
          <w:color w:val="000000"/>
          <w:szCs w:val="21"/>
        </w:rPr>
      </w:pPr>
      <w:bookmarkStart w:id="5" w:name="_Toc500751152"/>
      <w:r>
        <w:rPr>
          <w:rFonts w:hint="eastAsia" w:ascii="宋体" w:hAnsi="宋体"/>
          <w:color w:val="000000"/>
          <w:szCs w:val="21"/>
        </w:rPr>
        <w:t>6.2 包装要求</w:t>
      </w:r>
      <w:bookmarkEnd w:id="5"/>
    </w:p>
    <w:p>
      <w:pPr>
        <w:spacing w:line="300" w:lineRule="auto"/>
        <w:ind w:firstLine="480"/>
        <w:rPr>
          <w:rFonts w:hint="eastAsia" w:ascii="宋体" w:hAnsi="宋体"/>
          <w:color w:val="000000"/>
          <w:szCs w:val="21"/>
        </w:rPr>
      </w:pPr>
      <w:r>
        <w:rPr>
          <w:rFonts w:hint="eastAsia" w:ascii="宋体" w:hAnsi="宋体"/>
          <w:color w:val="000000"/>
          <w:szCs w:val="21"/>
        </w:rPr>
        <w:t>6.2.1每个包装件必须有与该包装件相符合的装箱单，并采用防潮的密封袋包装。包装件内装入的零部件，必须有明显的标记与标签，标明部件号、编号、名称、数量等，并应与装箱单一致。</w:t>
      </w:r>
    </w:p>
    <w:p>
      <w:pPr>
        <w:spacing w:line="300" w:lineRule="auto"/>
        <w:ind w:firstLine="480"/>
        <w:rPr>
          <w:rFonts w:hint="eastAsia" w:ascii="宋体" w:hAnsi="宋体"/>
          <w:color w:val="000000"/>
          <w:szCs w:val="21"/>
        </w:rPr>
      </w:pPr>
      <w:r>
        <w:rPr>
          <w:rFonts w:hint="eastAsia" w:ascii="宋体" w:hAnsi="宋体"/>
          <w:color w:val="000000"/>
          <w:szCs w:val="21"/>
        </w:rPr>
        <w:t>6.2.2所有设备在出厂前应打上金属标签或其他牢固地依附在设备上的永久性材料作为标志。</w:t>
      </w:r>
    </w:p>
    <w:p>
      <w:pPr>
        <w:spacing w:line="300" w:lineRule="auto"/>
        <w:ind w:firstLine="480"/>
        <w:rPr>
          <w:rFonts w:hint="eastAsia" w:ascii="宋体" w:hAnsi="宋体"/>
          <w:color w:val="000000"/>
          <w:szCs w:val="21"/>
        </w:rPr>
      </w:pPr>
      <w:r>
        <w:rPr>
          <w:rFonts w:hint="eastAsia" w:ascii="宋体" w:hAnsi="宋体"/>
          <w:color w:val="000000"/>
          <w:szCs w:val="21"/>
        </w:rPr>
        <w:t>6.2.3特殊设备要根据制造厂的具体要求进行包装。</w:t>
      </w:r>
    </w:p>
    <w:p>
      <w:pPr>
        <w:spacing w:line="300" w:lineRule="auto"/>
        <w:ind w:firstLine="480"/>
        <w:rPr>
          <w:rFonts w:hint="eastAsia" w:ascii="宋体" w:hAnsi="宋体"/>
          <w:color w:val="000000"/>
          <w:szCs w:val="21"/>
        </w:rPr>
      </w:pPr>
      <w:r>
        <w:rPr>
          <w:rFonts w:hint="eastAsia" w:ascii="宋体" w:hAnsi="宋体"/>
          <w:color w:val="000000"/>
          <w:szCs w:val="21"/>
        </w:rPr>
        <w:t>6.2.4按合同供应的设备和器材，推荐的备品、备件与工具及试验设备应分别单独包装。</w:t>
      </w:r>
    </w:p>
    <w:p>
      <w:pPr>
        <w:spacing w:line="300" w:lineRule="auto"/>
        <w:ind w:firstLine="480"/>
        <w:rPr>
          <w:rFonts w:hint="eastAsia" w:ascii="宋体" w:hAnsi="宋体"/>
          <w:color w:val="000000"/>
          <w:szCs w:val="21"/>
        </w:rPr>
      </w:pPr>
      <w:r>
        <w:rPr>
          <w:rFonts w:hint="eastAsia" w:ascii="宋体" w:hAnsi="宋体"/>
          <w:color w:val="000000"/>
          <w:szCs w:val="21"/>
        </w:rPr>
        <w:t>6.2.5工具和试验设备的包装箱上应明确所配给的设备和系统。</w:t>
      </w:r>
    </w:p>
    <w:p>
      <w:pPr>
        <w:spacing w:line="300" w:lineRule="auto"/>
        <w:ind w:firstLine="480"/>
        <w:rPr>
          <w:rFonts w:hint="eastAsia" w:ascii="宋体" w:hAnsi="宋体"/>
          <w:color w:val="000000"/>
          <w:szCs w:val="21"/>
        </w:rPr>
      </w:pPr>
      <w:r>
        <w:rPr>
          <w:rFonts w:hint="eastAsia" w:ascii="宋体" w:hAnsi="宋体"/>
          <w:color w:val="000000"/>
          <w:szCs w:val="21"/>
        </w:rPr>
        <w:t>6.2.6所有备品、备件应包装在适用于永久保存的箱内，并分系统、分类包装。</w:t>
      </w:r>
    </w:p>
    <w:p>
      <w:pPr>
        <w:spacing w:line="300" w:lineRule="auto"/>
        <w:ind w:firstLine="480"/>
        <w:rPr>
          <w:rFonts w:hint="eastAsia" w:ascii="宋体" w:hAnsi="宋体"/>
          <w:color w:val="000000"/>
          <w:szCs w:val="21"/>
        </w:rPr>
      </w:pPr>
      <w:r>
        <w:rPr>
          <w:rFonts w:hint="eastAsia" w:ascii="宋体" w:hAnsi="宋体"/>
          <w:color w:val="000000"/>
          <w:szCs w:val="21"/>
        </w:rPr>
        <w:t>6.2.7设备和器材应进行必要的保护，如铭牌、密封面等，以防运输中损坏。</w:t>
      </w:r>
    </w:p>
    <w:p>
      <w:pPr>
        <w:spacing w:line="300" w:lineRule="auto"/>
        <w:ind w:firstLine="480"/>
        <w:rPr>
          <w:rFonts w:hint="eastAsia" w:ascii="宋体" w:hAnsi="宋体"/>
          <w:color w:val="000000"/>
          <w:szCs w:val="21"/>
        </w:rPr>
      </w:pPr>
      <w:r>
        <w:rPr>
          <w:rFonts w:hint="eastAsia" w:ascii="宋体" w:hAnsi="宋体"/>
          <w:color w:val="000000"/>
          <w:szCs w:val="21"/>
        </w:rPr>
        <w:t>6.2.8设备的包装应符合GB/T13384标准的规定，并采取防雨、防潮、防锈、防震等措施，以免在运输过程中由于振动和碰撞引起损坏。</w:t>
      </w:r>
    </w:p>
    <w:p>
      <w:pPr>
        <w:spacing w:line="300" w:lineRule="auto"/>
        <w:ind w:firstLine="480"/>
        <w:rPr>
          <w:rFonts w:hint="eastAsia" w:ascii="宋体" w:hAnsi="宋体"/>
          <w:color w:val="000000"/>
          <w:szCs w:val="21"/>
        </w:rPr>
      </w:pPr>
      <w:r>
        <w:rPr>
          <w:rFonts w:hint="eastAsia" w:ascii="宋体" w:hAnsi="宋体"/>
          <w:color w:val="000000"/>
          <w:szCs w:val="21"/>
        </w:rPr>
        <w:t>6.2.9所有开口、法兰、接头应采取保护措施，以防止在运输和存储期间遭受腐蚀、损伤及进入杂物。</w:t>
      </w:r>
    </w:p>
    <w:p>
      <w:pPr>
        <w:spacing w:line="300" w:lineRule="auto"/>
        <w:ind w:firstLine="480"/>
        <w:rPr>
          <w:rFonts w:hint="eastAsia" w:ascii="宋体" w:hAnsi="宋体"/>
          <w:color w:val="000000"/>
          <w:szCs w:val="21"/>
        </w:rPr>
      </w:pPr>
      <w:r>
        <w:rPr>
          <w:rFonts w:hint="eastAsia" w:ascii="宋体" w:hAnsi="宋体"/>
          <w:color w:val="000000"/>
          <w:szCs w:val="21"/>
        </w:rPr>
        <w:t>6.2.10需要现场连接的螺纹孔或管座的焊接孔应采用螺纹或其它方式保护。</w:t>
      </w:r>
    </w:p>
    <w:p>
      <w:pPr>
        <w:spacing w:line="300" w:lineRule="auto"/>
        <w:ind w:firstLine="480"/>
        <w:rPr>
          <w:rFonts w:hint="eastAsia" w:ascii="宋体" w:hAnsi="宋体"/>
          <w:color w:val="000000"/>
          <w:szCs w:val="21"/>
        </w:rPr>
      </w:pPr>
      <w:r>
        <w:rPr>
          <w:rFonts w:hint="eastAsia" w:ascii="宋体" w:hAnsi="宋体"/>
          <w:color w:val="000000"/>
          <w:szCs w:val="21"/>
        </w:rPr>
        <w:t>6.2.11遮盖物、金属带子或紧扣件不应焊在设备上。</w:t>
      </w:r>
    </w:p>
    <w:p>
      <w:pPr>
        <w:spacing w:line="300" w:lineRule="auto"/>
        <w:ind w:firstLine="480"/>
        <w:rPr>
          <w:rFonts w:hint="eastAsia" w:ascii="宋体" w:hAnsi="宋体"/>
          <w:color w:val="000000"/>
          <w:szCs w:val="21"/>
        </w:rPr>
      </w:pPr>
      <w:r>
        <w:rPr>
          <w:rFonts w:hint="eastAsia" w:ascii="宋体" w:hAnsi="宋体"/>
          <w:color w:val="000000"/>
          <w:szCs w:val="21"/>
        </w:rPr>
        <w:t>6.2.12包装箱内应考虑设备的支撑与固定，所有松散部件要另用小箱盒装好放入箱内。</w:t>
      </w:r>
    </w:p>
    <w:p>
      <w:pPr>
        <w:spacing w:line="300" w:lineRule="auto"/>
        <w:ind w:firstLine="480"/>
        <w:rPr>
          <w:rFonts w:hint="eastAsia" w:ascii="宋体" w:hAnsi="宋体"/>
          <w:color w:val="000000"/>
          <w:szCs w:val="21"/>
        </w:rPr>
      </w:pPr>
      <w:r>
        <w:rPr>
          <w:rFonts w:hint="eastAsia" w:ascii="宋体" w:hAnsi="宋体"/>
          <w:color w:val="000000"/>
          <w:szCs w:val="21"/>
        </w:rPr>
        <w:t>6.2.13包装件应符合运输作业的规定，以避免在运输和装卸时包装件内的部件产生滑动、撞击和磨损，造成部件的损坏。</w:t>
      </w:r>
    </w:p>
    <w:p>
      <w:pPr>
        <w:spacing w:line="300" w:lineRule="auto"/>
        <w:ind w:firstLine="480"/>
        <w:rPr>
          <w:rFonts w:hint="eastAsia" w:ascii="宋体" w:hAnsi="宋体"/>
          <w:color w:val="000000"/>
          <w:szCs w:val="21"/>
        </w:rPr>
      </w:pPr>
      <w:r>
        <w:rPr>
          <w:rFonts w:hint="eastAsia" w:ascii="宋体" w:hAnsi="宋体"/>
          <w:color w:val="000000"/>
          <w:szCs w:val="21"/>
        </w:rPr>
        <w:t>6.2.14包装件上应有以下标志：</w:t>
      </w:r>
    </w:p>
    <w:p>
      <w:pPr>
        <w:spacing w:line="300" w:lineRule="auto"/>
        <w:ind w:firstLine="480"/>
        <w:rPr>
          <w:rFonts w:hint="eastAsia" w:ascii="宋体" w:hAnsi="宋体"/>
          <w:color w:val="000000"/>
          <w:szCs w:val="21"/>
        </w:rPr>
      </w:pPr>
      <w:r>
        <w:rPr>
          <w:rFonts w:hint="eastAsia" w:ascii="宋体" w:hAnsi="宋体"/>
          <w:color w:val="000000"/>
          <w:szCs w:val="21"/>
        </w:rPr>
        <w:t>运输作业标志（包括防潮、防震、放置位置方向、重心位置、绳索固定部件等）；</w:t>
      </w:r>
    </w:p>
    <w:p>
      <w:pPr>
        <w:spacing w:line="300" w:lineRule="auto"/>
        <w:ind w:firstLine="480"/>
        <w:rPr>
          <w:rFonts w:hint="eastAsia" w:ascii="宋体" w:hAnsi="宋体"/>
          <w:color w:val="000000"/>
          <w:szCs w:val="21"/>
        </w:rPr>
      </w:pPr>
      <w:r>
        <w:rPr>
          <w:rFonts w:hint="eastAsia" w:ascii="宋体" w:hAnsi="宋体"/>
          <w:color w:val="000000"/>
          <w:szCs w:val="21"/>
        </w:rPr>
        <w:t>发货标志：出厂编号、箱号、发货站（港）、到货站（港）、体积（长×宽×高）、设备名称、毛重（公斤）、发货单位、收货单位；设备存放和保管要求等级。</w:t>
      </w:r>
    </w:p>
    <w:p>
      <w:pPr>
        <w:spacing w:line="300" w:lineRule="auto"/>
        <w:ind w:firstLine="480"/>
        <w:outlineLvl w:val="2"/>
        <w:rPr>
          <w:rFonts w:hint="eastAsia" w:ascii="宋体" w:hAnsi="宋体"/>
          <w:color w:val="000000"/>
          <w:szCs w:val="21"/>
        </w:rPr>
      </w:pPr>
      <w:bookmarkStart w:id="6" w:name="_Toc500751153"/>
      <w:r>
        <w:rPr>
          <w:rFonts w:hint="eastAsia" w:ascii="宋体" w:hAnsi="宋体"/>
          <w:color w:val="000000"/>
          <w:szCs w:val="21"/>
        </w:rPr>
        <w:t>6.3 运输</w:t>
      </w:r>
      <w:bookmarkEnd w:id="6"/>
    </w:p>
    <w:p>
      <w:pPr>
        <w:spacing w:line="300" w:lineRule="auto"/>
        <w:ind w:firstLine="480"/>
        <w:rPr>
          <w:rFonts w:hint="eastAsia" w:ascii="宋体" w:hAnsi="宋体"/>
          <w:color w:val="000000"/>
          <w:szCs w:val="21"/>
        </w:rPr>
      </w:pPr>
      <w:r>
        <w:rPr>
          <w:rFonts w:hint="eastAsia" w:ascii="宋体" w:hAnsi="宋体"/>
          <w:color w:val="000000"/>
          <w:szCs w:val="21"/>
        </w:rPr>
        <w:t>6.3.1乙方应负责将设备和器材运输到现场。</w:t>
      </w:r>
    </w:p>
    <w:p>
      <w:pPr>
        <w:spacing w:line="300" w:lineRule="auto"/>
        <w:ind w:firstLine="480"/>
        <w:rPr>
          <w:rFonts w:hint="eastAsia" w:ascii="宋体" w:hAnsi="宋体"/>
          <w:color w:val="000000"/>
          <w:szCs w:val="21"/>
        </w:rPr>
      </w:pPr>
      <w:r>
        <w:rPr>
          <w:rFonts w:hint="eastAsia" w:ascii="宋体" w:hAnsi="宋体"/>
          <w:color w:val="000000"/>
          <w:szCs w:val="21"/>
        </w:rPr>
        <w:t>6.3.2对于包装箱内的货物与清单上不符、运输中的损坏，应由乙方负责补齐，且不得另外收费。</w:t>
      </w:r>
    </w:p>
    <w:p>
      <w:pPr>
        <w:spacing w:line="300" w:lineRule="auto"/>
        <w:ind w:firstLine="480"/>
        <w:rPr>
          <w:rFonts w:hint="eastAsia" w:ascii="宋体" w:hAnsi="宋体"/>
          <w:color w:val="000000"/>
          <w:szCs w:val="21"/>
        </w:rPr>
      </w:pPr>
      <w:r>
        <w:rPr>
          <w:rFonts w:hint="eastAsia" w:ascii="宋体" w:hAnsi="宋体"/>
          <w:color w:val="000000"/>
          <w:szCs w:val="21"/>
        </w:rPr>
        <w:t>6.3.3乙方在投标文件中应详细列出单件设备运输重量超过30t、以及长度超过13m、宽度超过3.0m、高度超过3.0m的设备名称及件数（上述所列数据有一项不满足即应列出），填写在附录表中，并提供大部件的实际尺寸和包装后发货（车上）尺寸的草图。</w:t>
      </w:r>
    </w:p>
    <w:p>
      <w:pPr>
        <w:spacing w:line="300" w:lineRule="auto"/>
        <w:ind w:firstLine="480"/>
        <w:outlineLvl w:val="2"/>
        <w:rPr>
          <w:rFonts w:hint="eastAsia" w:ascii="宋体" w:hAnsi="宋体"/>
          <w:color w:val="000000"/>
          <w:szCs w:val="21"/>
        </w:rPr>
      </w:pPr>
      <w:bookmarkStart w:id="7" w:name="_Toc500751154"/>
      <w:r>
        <w:rPr>
          <w:rFonts w:hint="eastAsia" w:ascii="宋体" w:hAnsi="宋体"/>
          <w:color w:val="000000"/>
          <w:szCs w:val="21"/>
        </w:rPr>
        <w:t>6.4 贮存</w:t>
      </w:r>
      <w:bookmarkEnd w:id="7"/>
    </w:p>
    <w:p>
      <w:pPr>
        <w:ind w:firstLine="400" w:firstLineChars="200"/>
      </w:pPr>
      <w:r>
        <w:rPr>
          <w:rFonts w:hint="eastAsia" w:ascii="宋体" w:hAnsi="宋体"/>
          <w:color w:val="000000"/>
          <w:szCs w:val="21"/>
        </w:rPr>
        <w:t>乙方应在投标阶段提出货物贮存场地的占地要求。曲靖电厂将按照乙方的要求提供贮存货物的场地。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2YzJhOTEzYWY1MjBmZTg3NGQ3MTYyMmZhYTQ2NDcifQ=="/>
  </w:docVars>
  <w:rsids>
    <w:rsidRoot w:val="001819E4"/>
    <w:rsid w:val="000015AE"/>
    <w:rsid w:val="000025A9"/>
    <w:rsid w:val="0002752D"/>
    <w:rsid w:val="000302B6"/>
    <w:rsid w:val="0003402C"/>
    <w:rsid w:val="000401DC"/>
    <w:rsid w:val="0004084B"/>
    <w:rsid w:val="000516BC"/>
    <w:rsid w:val="00064591"/>
    <w:rsid w:val="0009775A"/>
    <w:rsid w:val="000C37C9"/>
    <w:rsid w:val="000C68F2"/>
    <w:rsid w:val="000C7511"/>
    <w:rsid w:val="000C75FD"/>
    <w:rsid w:val="000D3EAC"/>
    <w:rsid w:val="000D5500"/>
    <w:rsid w:val="000E0F1A"/>
    <w:rsid w:val="000E3395"/>
    <w:rsid w:val="00110046"/>
    <w:rsid w:val="00110F3C"/>
    <w:rsid w:val="00116877"/>
    <w:rsid w:val="00121907"/>
    <w:rsid w:val="00127AFF"/>
    <w:rsid w:val="001346A1"/>
    <w:rsid w:val="00142B30"/>
    <w:rsid w:val="00146574"/>
    <w:rsid w:val="00153B15"/>
    <w:rsid w:val="00161611"/>
    <w:rsid w:val="00162C8D"/>
    <w:rsid w:val="00175926"/>
    <w:rsid w:val="001819E4"/>
    <w:rsid w:val="0018221E"/>
    <w:rsid w:val="00184F0D"/>
    <w:rsid w:val="001932F2"/>
    <w:rsid w:val="001969FF"/>
    <w:rsid w:val="0019727F"/>
    <w:rsid w:val="001D6165"/>
    <w:rsid w:val="001E1B64"/>
    <w:rsid w:val="001E2EFD"/>
    <w:rsid w:val="001F20ED"/>
    <w:rsid w:val="00203F00"/>
    <w:rsid w:val="002134C5"/>
    <w:rsid w:val="00215041"/>
    <w:rsid w:val="0023086D"/>
    <w:rsid w:val="00260822"/>
    <w:rsid w:val="00266A01"/>
    <w:rsid w:val="00281BC4"/>
    <w:rsid w:val="00284357"/>
    <w:rsid w:val="00295A1D"/>
    <w:rsid w:val="002966C7"/>
    <w:rsid w:val="002A25FF"/>
    <w:rsid w:val="002A7C87"/>
    <w:rsid w:val="002C5C1D"/>
    <w:rsid w:val="002F2815"/>
    <w:rsid w:val="002F331A"/>
    <w:rsid w:val="002F3B67"/>
    <w:rsid w:val="00311656"/>
    <w:rsid w:val="00315BBD"/>
    <w:rsid w:val="00324E08"/>
    <w:rsid w:val="003269DA"/>
    <w:rsid w:val="00327E4D"/>
    <w:rsid w:val="0033111B"/>
    <w:rsid w:val="00332140"/>
    <w:rsid w:val="00346FDE"/>
    <w:rsid w:val="00347C85"/>
    <w:rsid w:val="00352F3B"/>
    <w:rsid w:val="00362D5E"/>
    <w:rsid w:val="00364406"/>
    <w:rsid w:val="00366BE6"/>
    <w:rsid w:val="003767B7"/>
    <w:rsid w:val="00382012"/>
    <w:rsid w:val="0038393F"/>
    <w:rsid w:val="00383DBD"/>
    <w:rsid w:val="00390B22"/>
    <w:rsid w:val="00391277"/>
    <w:rsid w:val="00392467"/>
    <w:rsid w:val="00395E61"/>
    <w:rsid w:val="003C3FE4"/>
    <w:rsid w:val="003D03C3"/>
    <w:rsid w:val="003E5308"/>
    <w:rsid w:val="003E54E4"/>
    <w:rsid w:val="00403C98"/>
    <w:rsid w:val="0040671A"/>
    <w:rsid w:val="004272EB"/>
    <w:rsid w:val="00435D64"/>
    <w:rsid w:val="004431CE"/>
    <w:rsid w:val="00447CF3"/>
    <w:rsid w:val="00451ED8"/>
    <w:rsid w:val="004623FB"/>
    <w:rsid w:val="004643B9"/>
    <w:rsid w:val="00464C3B"/>
    <w:rsid w:val="004758E8"/>
    <w:rsid w:val="00486233"/>
    <w:rsid w:val="00491E7D"/>
    <w:rsid w:val="004921B3"/>
    <w:rsid w:val="004A54CD"/>
    <w:rsid w:val="004A7B24"/>
    <w:rsid w:val="004D3D22"/>
    <w:rsid w:val="004D58DE"/>
    <w:rsid w:val="004F2A59"/>
    <w:rsid w:val="00500EC7"/>
    <w:rsid w:val="00501210"/>
    <w:rsid w:val="00504CE4"/>
    <w:rsid w:val="005079CA"/>
    <w:rsid w:val="005610D9"/>
    <w:rsid w:val="00563734"/>
    <w:rsid w:val="00570B09"/>
    <w:rsid w:val="0057269B"/>
    <w:rsid w:val="00585A0D"/>
    <w:rsid w:val="00586E4F"/>
    <w:rsid w:val="00590909"/>
    <w:rsid w:val="005A0228"/>
    <w:rsid w:val="005A78CA"/>
    <w:rsid w:val="005C310E"/>
    <w:rsid w:val="005E19A0"/>
    <w:rsid w:val="005E2FF8"/>
    <w:rsid w:val="005E3CCB"/>
    <w:rsid w:val="006001EB"/>
    <w:rsid w:val="00601059"/>
    <w:rsid w:val="006030CE"/>
    <w:rsid w:val="0060667A"/>
    <w:rsid w:val="006320FE"/>
    <w:rsid w:val="006342A6"/>
    <w:rsid w:val="00644B56"/>
    <w:rsid w:val="00646225"/>
    <w:rsid w:val="00655392"/>
    <w:rsid w:val="00664D02"/>
    <w:rsid w:val="006704BC"/>
    <w:rsid w:val="00681194"/>
    <w:rsid w:val="00694FDD"/>
    <w:rsid w:val="006C00A5"/>
    <w:rsid w:val="006E2CA6"/>
    <w:rsid w:val="006E7BBA"/>
    <w:rsid w:val="006F1A09"/>
    <w:rsid w:val="0070006E"/>
    <w:rsid w:val="007002B6"/>
    <w:rsid w:val="00714ABD"/>
    <w:rsid w:val="007648E0"/>
    <w:rsid w:val="00773FDC"/>
    <w:rsid w:val="00775FE1"/>
    <w:rsid w:val="007854D7"/>
    <w:rsid w:val="00794913"/>
    <w:rsid w:val="007A253B"/>
    <w:rsid w:val="007B158B"/>
    <w:rsid w:val="007B19B6"/>
    <w:rsid w:val="007B5A24"/>
    <w:rsid w:val="007C4B19"/>
    <w:rsid w:val="007D0F7D"/>
    <w:rsid w:val="007E16CE"/>
    <w:rsid w:val="007E35B6"/>
    <w:rsid w:val="007F7DF4"/>
    <w:rsid w:val="00801768"/>
    <w:rsid w:val="00816AD1"/>
    <w:rsid w:val="00820373"/>
    <w:rsid w:val="00824AD7"/>
    <w:rsid w:val="00830257"/>
    <w:rsid w:val="00834584"/>
    <w:rsid w:val="0083684D"/>
    <w:rsid w:val="00837A0B"/>
    <w:rsid w:val="00837C94"/>
    <w:rsid w:val="008425EA"/>
    <w:rsid w:val="008503DB"/>
    <w:rsid w:val="0086133A"/>
    <w:rsid w:val="0087009E"/>
    <w:rsid w:val="008A4A9F"/>
    <w:rsid w:val="008B7366"/>
    <w:rsid w:val="008B747E"/>
    <w:rsid w:val="008B7EC8"/>
    <w:rsid w:val="008D2CEB"/>
    <w:rsid w:val="008D6940"/>
    <w:rsid w:val="008D6D0F"/>
    <w:rsid w:val="008E0633"/>
    <w:rsid w:val="008F6DAD"/>
    <w:rsid w:val="00900D1C"/>
    <w:rsid w:val="0090151A"/>
    <w:rsid w:val="00905803"/>
    <w:rsid w:val="009114CD"/>
    <w:rsid w:val="00922B2D"/>
    <w:rsid w:val="00926BB6"/>
    <w:rsid w:val="00931820"/>
    <w:rsid w:val="009358F1"/>
    <w:rsid w:val="0094233B"/>
    <w:rsid w:val="009477FC"/>
    <w:rsid w:val="009560B0"/>
    <w:rsid w:val="0096098C"/>
    <w:rsid w:val="009644B9"/>
    <w:rsid w:val="00976183"/>
    <w:rsid w:val="00980002"/>
    <w:rsid w:val="00984A64"/>
    <w:rsid w:val="00996BEE"/>
    <w:rsid w:val="009A03C3"/>
    <w:rsid w:val="009B6139"/>
    <w:rsid w:val="009B6D00"/>
    <w:rsid w:val="009C0933"/>
    <w:rsid w:val="009C3440"/>
    <w:rsid w:val="009D66F8"/>
    <w:rsid w:val="009E0156"/>
    <w:rsid w:val="009E4EC0"/>
    <w:rsid w:val="009F1469"/>
    <w:rsid w:val="009F39DB"/>
    <w:rsid w:val="00A01424"/>
    <w:rsid w:val="00A07122"/>
    <w:rsid w:val="00A171AD"/>
    <w:rsid w:val="00A211AA"/>
    <w:rsid w:val="00A44253"/>
    <w:rsid w:val="00A52EC2"/>
    <w:rsid w:val="00A55F5C"/>
    <w:rsid w:val="00A63D3D"/>
    <w:rsid w:val="00A670C6"/>
    <w:rsid w:val="00A70C46"/>
    <w:rsid w:val="00A76EE7"/>
    <w:rsid w:val="00AC1DCC"/>
    <w:rsid w:val="00AD5DB1"/>
    <w:rsid w:val="00AE2233"/>
    <w:rsid w:val="00AE40AB"/>
    <w:rsid w:val="00AE45BE"/>
    <w:rsid w:val="00AE757A"/>
    <w:rsid w:val="00AE79C6"/>
    <w:rsid w:val="00AF10CF"/>
    <w:rsid w:val="00AF2153"/>
    <w:rsid w:val="00AF2631"/>
    <w:rsid w:val="00B02870"/>
    <w:rsid w:val="00B12352"/>
    <w:rsid w:val="00B178B6"/>
    <w:rsid w:val="00B2487D"/>
    <w:rsid w:val="00B30BFB"/>
    <w:rsid w:val="00B343E0"/>
    <w:rsid w:val="00B3499C"/>
    <w:rsid w:val="00B350A0"/>
    <w:rsid w:val="00B4368B"/>
    <w:rsid w:val="00B578AF"/>
    <w:rsid w:val="00B61732"/>
    <w:rsid w:val="00B61E60"/>
    <w:rsid w:val="00B74594"/>
    <w:rsid w:val="00B80BB4"/>
    <w:rsid w:val="00B82766"/>
    <w:rsid w:val="00B871BF"/>
    <w:rsid w:val="00B871D0"/>
    <w:rsid w:val="00BA4B62"/>
    <w:rsid w:val="00BB6C98"/>
    <w:rsid w:val="00BD19F0"/>
    <w:rsid w:val="00BD452F"/>
    <w:rsid w:val="00BF4C8C"/>
    <w:rsid w:val="00C04F99"/>
    <w:rsid w:val="00C13156"/>
    <w:rsid w:val="00C42675"/>
    <w:rsid w:val="00C76243"/>
    <w:rsid w:val="00C90743"/>
    <w:rsid w:val="00C95582"/>
    <w:rsid w:val="00CA1B4E"/>
    <w:rsid w:val="00CA2EF6"/>
    <w:rsid w:val="00CB358C"/>
    <w:rsid w:val="00CD50DC"/>
    <w:rsid w:val="00CD7CC5"/>
    <w:rsid w:val="00CE16E7"/>
    <w:rsid w:val="00CE78F0"/>
    <w:rsid w:val="00CF77B1"/>
    <w:rsid w:val="00D24564"/>
    <w:rsid w:val="00D26677"/>
    <w:rsid w:val="00D31CCE"/>
    <w:rsid w:val="00D36256"/>
    <w:rsid w:val="00D654AF"/>
    <w:rsid w:val="00D858FC"/>
    <w:rsid w:val="00D85B53"/>
    <w:rsid w:val="00D865D5"/>
    <w:rsid w:val="00D96E52"/>
    <w:rsid w:val="00DA7305"/>
    <w:rsid w:val="00DB2B29"/>
    <w:rsid w:val="00DC4265"/>
    <w:rsid w:val="00DC5292"/>
    <w:rsid w:val="00DC670C"/>
    <w:rsid w:val="00DC733B"/>
    <w:rsid w:val="00DD4FA6"/>
    <w:rsid w:val="00E040A3"/>
    <w:rsid w:val="00E13BB5"/>
    <w:rsid w:val="00E2226A"/>
    <w:rsid w:val="00E250DC"/>
    <w:rsid w:val="00E410ED"/>
    <w:rsid w:val="00E468FC"/>
    <w:rsid w:val="00E4733F"/>
    <w:rsid w:val="00E4779C"/>
    <w:rsid w:val="00E55B0F"/>
    <w:rsid w:val="00EA02EF"/>
    <w:rsid w:val="00EA55F0"/>
    <w:rsid w:val="00EA66BB"/>
    <w:rsid w:val="00EB1472"/>
    <w:rsid w:val="00EB42F4"/>
    <w:rsid w:val="00EE3B17"/>
    <w:rsid w:val="00EE73ED"/>
    <w:rsid w:val="00F033E4"/>
    <w:rsid w:val="00F0772E"/>
    <w:rsid w:val="00F34C2B"/>
    <w:rsid w:val="00F51884"/>
    <w:rsid w:val="00F63A4D"/>
    <w:rsid w:val="00F64D11"/>
    <w:rsid w:val="00F70DD5"/>
    <w:rsid w:val="00F74AB7"/>
    <w:rsid w:val="00F7535C"/>
    <w:rsid w:val="00F81F10"/>
    <w:rsid w:val="00F86FB8"/>
    <w:rsid w:val="00F92BD3"/>
    <w:rsid w:val="00F938EF"/>
    <w:rsid w:val="00F979FC"/>
    <w:rsid w:val="00FC6FCB"/>
    <w:rsid w:val="00FD048C"/>
    <w:rsid w:val="00FF0AE1"/>
    <w:rsid w:val="00FF6BCD"/>
    <w:rsid w:val="0C0B16DB"/>
    <w:rsid w:val="11BB484B"/>
    <w:rsid w:val="630E2120"/>
    <w:rsid w:val="6BB81500"/>
    <w:rsid w:val="7577204E"/>
    <w:rsid w:val="7DCB7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Pages>
  <Words>2265</Words>
  <Characters>2618</Characters>
  <Lines>20</Lines>
  <Paragraphs>5</Paragraphs>
  <TotalTime>6</TotalTime>
  <ScaleCrop>false</ScaleCrop>
  <LinksUpToDate>false</LinksUpToDate>
  <CharactersWithSpaces>2805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2022-07-31T12:35:00Z</dcterms:created>
  <dc:creator>赵卫东</dc:creator>
  <cp:lastModifiedBy>Weidong</cp:lastModifiedBy>
  <dcterms:modified xsi:type="dcterms:W3CDTF">2022-08-19T06:17:06Z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90A2528FFE2B4A4FAF24C5D43F01DCD8</vt:lpwstr>
  </property>
</Properties>
</file>