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19050" t="0" r="7620" b="0"/>
            <wp:wrapSquare wrapText="bothSides"/>
            <wp:docPr id="4"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未标题-1副本"/>
                    <pic:cNvPicPr>
                      <a:picLocks noChangeAspect="1" noChangeArrowheads="1"/>
                    </pic:cNvPicPr>
                  </pic:nvPicPr>
                  <pic:blipFill>
                    <a:blip r:embed="rId11" cstate="print"/>
                    <a:srcRect/>
                    <a:stretch>
                      <a:fillRect/>
                    </a:stretch>
                  </pic:blipFill>
                  <pic:spPr>
                    <a:xfrm>
                      <a:off x="0" y="0"/>
                      <a:ext cx="1840230" cy="396875"/>
                    </a:xfrm>
                    <a:prstGeom prst="rect">
                      <a:avLst/>
                    </a:prstGeom>
                    <a:noFill/>
                    <a:ln w="9525">
                      <a:noFill/>
                      <a:miter lim="800000"/>
                      <a:headEnd/>
                      <a:tailEnd/>
                    </a:ln>
                  </pic:spPr>
                </pic:pic>
              </a:graphicData>
            </a:graphic>
          </wp:anchor>
        </w:drawing>
      </w:r>
    </w:p>
    <w:p>
      <w:pPr>
        <w:spacing w:line="760" w:lineRule="exact"/>
        <w:ind w:firstLine="880"/>
        <w:rPr>
          <w:color w:val="000000"/>
          <w:sz w:val="44"/>
        </w:rPr>
      </w:pPr>
    </w:p>
    <w:p>
      <w:pPr>
        <w:spacing w:line="400" w:lineRule="exact"/>
        <w:ind w:firstLine="480"/>
        <w:jc w:val="center"/>
        <w:rPr>
          <w:color w:val="000000"/>
        </w:rPr>
      </w:pPr>
    </w:p>
    <w:p>
      <w:pPr>
        <w:spacing w:line="400" w:lineRule="exact"/>
        <w:ind w:firstLine="480"/>
        <w:jc w:val="center"/>
        <w:rPr>
          <w:color w:val="000000"/>
        </w:rPr>
      </w:pPr>
    </w:p>
    <w:p>
      <w:pPr>
        <w:adjustRightInd/>
        <w:snapToGrid/>
        <w:spacing w:line="240" w:lineRule="auto"/>
        <w:ind w:firstLine="0" w:firstLineChars="0"/>
        <w:jc w:val="center"/>
        <w:rPr>
          <w:rFonts w:ascii="黑体" w:hAnsi="黑体" w:eastAsia="黑体"/>
          <w:sz w:val="44"/>
          <w:szCs w:val="22"/>
        </w:rPr>
      </w:pPr>
      <w:r>
        <w:rPr>
          <w:rFonts w:hint="eastAsia" w:ascii="黑体" w:hAnsi="黑体" w:eastAsia="黑体"/>
          <w:sz w:val="44"/>
          <w:szCs w:val="22"/>
        </w:rPr>
        <w:t>中国华能集团有限公司</w:t>
      </w:r>
    </w:p>
    <w:p>
      <w:pPr>
        <w:adjustRightInd/>
        <w:snapToGrid/>
        <w:spacing w:line="240" w:lineRule="auto"/>
        <w:ind w:firstLine="0" w:firstLineChars="0"/>
        <w:jc w:val="center"/>
        <w:rPr>
          <w:rFonts w:ascii="黑体" w:hAnsi="黑体" w:eastAsia="黑体"/>
          <w:sz w:val="44"/>
          <w:szCs w:val="22"/>
        </w:rPr>
      </w:pPr>
    </w:p>
    <w:p>
      <w:pPr>
        <w:spacing w:line="240" w:lineRule="auto"/>
        <w:ind w:firstLine="0" w:firstLineChars="0"/>
        <w:jc w:val="center"/>
        <w:rPr>
          <w:sz w:val="7"/>
        </w:rPr>
      </w:pPr>
    </w:p>
    <w:p>
      <w:pPr>
        <w:spacing w:line="240" w:lineRule="auto"/>
        <w:ind w:firstLine="0" w:firstLineChars="0"/>
        <w:jc w:val="center"/>
        <w:rPr>
          <w:rFonts w:ascii="方正小标宋简体" w:eastAsia="方正小标宋简体"/>
          <w:sz w:val="5"/>
        </w:rPr>
      </w:pPr>
    </w:p>
    <w:p>
      <w:pPr>
        <w:adjustRightInd/>
        <w:snapToGrid/>
        <w:spacing w:line="240" w:lineRule="auto"/>
        <w:ind w:firstLine="0" w:firstLineChars="0"/>
        <w:jc w:val="center"/>
        <w:rPr>
          <w:rFonts w:ascii="黑体" w:hAnsi="黑体" w:eastAsia="黑体"/>
          <w:sz w:val="36"/>
          <w:szCs w:val="36"/>
        </w:rPr>
      </w:pPr>
      <w:r>
        <w:rPr>
          <w:rFonts w:hint="eastAsia" w:ascii="黑体" w:hAnsi="黑体" w:eastAsia="黑体"/>
          <w:b/>
          <w:bCs/>
          <w:sz w:val="36"/>
          <w:szCs w:val="36"/>
        </w:rPr>
        <w:t>沁北电厂2022年第三季度分布式光伏发电项目建筑物结构荷载检测鉴定</w:t>
      </w:r>
    </w:p>
    <w:p>
      <w:pPr>
        <w:adjustRightInd/>
        <w:snapToGrid/>
        <w:spacing w:line="240" w:lineRule="auto"/>
        <w:ind w:firstLine="0" w:firstLineChars="0"/>
        <w:jc w:val="center"/>
        <w:rPr>
          <w:rFonts w:ascii="黑体" w:hAnsi="黑体" w:eastAsia="黑体"/>
          <w:color w:val="FF0000"/>
          <w:sz w:val="36"/>
          <w:szCs w:val="36"/>
          <w:u w:val="single"/>
        </w:rPr>
      </w:pPr>
    </w:p>
    <w:p>
      <w:pPr>
        <w:adjustRightInd/>
        <w:snapToGrid/>
        <w:spacing w:line="240" w:lineRule="auto"/>
        <w:ind w:firstLine="0" w:firstLineChars="0"/>
        <w:jc w:val="center"/>
        <w:rPr>
          <w:rFonts w:ascii="黑体" w:hAnsi="黑体" w:eastAsia="黑体"/>
          <w:sz w:val="36"/>
          <w:szCs w:val="36"/>
        </w:rPr>
      </w:pPr>
      <w:r>
        <w:rPr>
          <w:rFonts w:hint="eastAsia" w:ascii="黑体" w:hAnsi="黑体" w:eastAsia="黑体"/>
          <w:sz w:val="36"/>
          <w:szCs w:val="36"/>
        </w:rPr>
        <w:t>简明标准询价采购文件</w:t>
      </w:r>
    </w:p>
    <w:p>
      <w:pPr>
        <w:spacing w:line="240" w:lineRule="auto"/>
        <w:ind w:firstLine="0" w:firstLineChars="0"/>
        <w:jc w:val="center"/>
        <w:rPr>
          <w:rFonts w:ascii="黑体" w:eastAsia="黑体"/>
          <w:sz w:val="28"/>
          <w:szCs w:val="28"/>
        </w:rPr>
      </w:pPr>
    </w:p>
    <w:p>
      <w:pPr>
        <w:spacing w:line="240" w:lineRule="auto"/>
        <w:ind w:firstLine="2833" w:firstLineChars="1012"/>
        <w:rPr>
          <w:rFonts w:ascii="黑体" w:eastAsia="黑体"/>
          <w:sz w:val="28"/>
          <w:szCs w:val="28"/>
        </w:rPr>
      </w:pPr>
      <w:r>
        <w:rPr>
          <w:rFonts w:hint="eastAsia" w:ascii="黑体" w:eastAsia="黑体"/>
          <w:sz w:val="28"/>
          <w:szCs w:val="28"/>
        </w:rPr>
        <w:t>采购编号：</w:t>
      </w:r>
    </w:p>
    <w:p>
      <w:pPr>
        <w:spacing w:line="240" w:lineRule="auto"/>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pPr>
    </w:p>
    <w:p>
      <w:pPr>
        <w:spacing w:line="400" w:lineRule="exact"/>
        <w:ind w:firstLine="0" w:firstLineChars="0"/>
        <w:jc w:val="center"/>
      </w:pPr>
    </w:p>
    <w:p>
      <w:pPr>
        <w:spacing w:line="240" w:lineRule="auto"/>
        <w:ind w:firstLine="2833" w:firstLineChars="1012"/>
        <w:rPr>
          <w:rFonts w:ascii="楷体" w:hAnsi="楷体" w:eastAsia="黑体"/>
          <w:sz w:val="28"/>
          <w:szCs w:val="28"/>
          <w:u w:val="single"/>
        </w:rPr>
      </w:pPr>
      <w:r>
        <w:rPr>
          <w:rFonts w:hint="eastAsia" w:ascii="黑体" w:eastAsia="黑体"/>
          <w:sz w:val="28"/>
          <w:szCs w:val="28"/>
        </w:rPr>
        <w:t>编制：</w:t>
      </w:r>
    </w:p>
    <w:p>
      <w:pPr>
        <w:spacing w:line="240" w:lineRule="auto"/>
        <w:ind w:firstLine="2833" w:firstLineChars="1012"/>
        <w:rPr>
          <w:rFonts w:ascii="楷体" w:hAnsi="楷体" w:eastAsia="楷体"/>
          <w:sz w:val="28"/>
          <w:szCs w:val="28"/>
          <w:u w:val="single"/>
        </w:rPr>
      </w:pPr>
    </w:p>
    <w:p>
      <w:pPr>
        <w:spacing w:line="240" w:lineRule="auto"/>
        <w:ind w:firstLine="2833" w:firstLineChars="1012"/>
        <w:rPr>
          <w:rFonts w:ascii="楷体" w:hAnsi="楷体" w:eastAsia="黑体"/>
          <w:sz w:val="28"/>
          <w:szCs w:val="28"/>
          <w:u w:val="single"/>
        </w:rPr>
      </w:pPr>
      <w:r>
        <w:rPr>
          <w:rFonts w:hint="eastAsia" w:ascii="黑体" w:eastAsia="黑体"/>
          <w:sz w:val="28"/>
          <w:szCs w:val="28"/>
        </w:rPr>
        <w:t>审核：</w:t>
      </w:r>
    </w:p>
    <w:p>
      <w:pPr>
        <w:spacing w:line="240" w:lineRule="auto"/>
        <w:ind w:firstLine="2833" w:firstLineChars="1012"/>
        <w:rPr>
          <w:rFonts w:ascii="楷体" w:hAnsi="楷体" w:eastAsia="楷体"/>
          <w:sz w:val="28"/>
          <w:szCs w:val="28"/>
          <w:u w:val="single"/>
        </w:rPr>
      </w:pPr>
    </w:p>
    <w:p>
      <w:pPr>
        <w:spacing w:line="240" w:lineRule="auto"/>
        <w:ind w:firstLine="2833" w:firstLineChars="1012"/>
        <w:rPr>
          <w:rFonts w:ascii="黑体" w:eastAsia="黑体"/>
          <w:sz w:val="28"/>
          <w:szCs w:val="28"/>
        </w:rPr>
      </w:pPr>
      <w:r>
        <w:rPr>
          <w:rFonts w:hint="eastAsia" w:ascii="黑体" w:eastAsia="黑体"/>
          <w:sz w:val="28"/>
          <w:szCs w:val="28"/>
        </w:rPr>
        <w:t>批准：</w:t>
      </w:r>
    </w:p>
    <w:p>
      <w:pPr>
        <w:autoSpaceDE w:val="0"/>
        <w:autoSpaceDN w:val="0"/>
        <w:spacing w:line="400" w:lineRule="exact"/>
        <w:ind w:firstLine="2240" w:firstLineChars="800"/>
        <w:rPr>
          <w:rFonts w:ascii="黑体" w:hAnsi="黑体" w:eastAsia="黑体" w:cs="楷体_GB2312"/>
          <w:sz w:val="28"/>
          <w:szCs w:val="28"/>
        </w:rPr>
      </w:pPr>
    </w:p>
    <w:p>
      <w:pPr>
        <w:spacing w:line="400" w:lineRule="exact"/>
        <w:ind w:firstLine="0" w:firstLineChars="0"/>
        <w:rPr>
          <w:color w:val="000000"/>
        </w:rPr>
      </w:pPr>
    </w:p>
    <w:p>
      <w:pPr>
        <w:spacing w:line="400" w:lineRule="exact"/>
        <w:ind w:firstLine="0" w:firstLineChars="0"/>
        <w:rPr>
          <w:color w:val="000000"/>
        </w:rPr>
      </w:pPr>
    </w:p>
    <w:p>
      <w:pPr>
        <w:spacing w:line="400" w:lineRule="exact"/>
        <w:ind w:firstLine="0" w:firstLineChars="0"/>
        <w:rPr>
          <w:rFonts w:ascii="黑体" w:hAnsi="黑体" w:eastAsia="黑体"/>
          <w:color w:val="000000"/>
        </w:rPr>
      </w:pPr>
    </w:p>
    <w:tbl>
      <w:tblPr>
        <w:tblStyle w:val="29"/>
        <w:tblW w:w="7303" w:type="dxa"/>
        <w:tblInd w:w="460" w:type="dxa"/>
        <w:tblLayout w:type="fixed"/>
        <w:tblCellMar>
          <w:top w:w="0" w:type="dxa"/>
          <w:left w:w="108" w:type="dxa"/>
          <w:bottom w:w="0" w:type="dxa"/>
          <w:right w:w="108" w:type="dxa"/>
        </w:tblCellMar>
      </w:tblPr>
      <w:tblGrid>
        <w:gridCol w:w="1995"/>
        <w:gridCol w:w="236"/>
        <w:gridCol w:w="5072"/>
      </w:tblGrid>
      <w:tr>
        <w:tblPrEx>
          <w:tblCellMar>
            <w:top w:w="0" w:type="dxa"/>
            <w:left w:w="108" w:type="dxa"/>
            <w:bottom w:w="0" w:type="dxa"/>
            <w:right w:w="108" w:type="dxa"/>
          </w:tblCellMar>
        </w:tblPrEx>
        <w:trPr>
          <w:trHeight w:val="603" w:hRule="atLeast"/>
        </w:trPr>
        <w:tc>
          <w:tcPr>
            <w:tcW w:w="1995"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采购人</w:t>
            </w:r>
          </w:p>
        </w:tc>
        <w:tc>
          <w:tcPr>
            <w:tcW w:w="236"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w:t>
            </w:r>
          </w:p>
        </w:tc>
        <w:tc>
          <w:tcPr>
            <w:tcW w:w="5072" w:type="dxa"/>
            <w:vAlign w:val="center"/>
          </w:tcPr>
          <w:p>
            <w:pPr>
              <w:spacing w:line="0" w:lineRule="atLeast"/>
              <w:ind w:firstLine="0" w:firstLineChars="0"/>
              <w:jc w:val="left"/>
              <w:rPr>
                <w:rFonts w:ascii="黑体" w:hAnsi="黑体" w:eastAsia="黑体" w:cs="楷体_GB2312"/>
                <w:sz w:val="28"/>
                <w:szCs w:val="28"/>
                <w:u w:val="single"/>
              </w:rPr>
            </w:pPr>
            <w:r>
              <w:rPr>
                <w:rFonts w:hint="eastAsia" w:ascii="楷体" w:hAnsi="楷体" w:eastAsia="楷体"/>
                <w:sz w:val="28"/>
                <w:szCs w:val="28"/>
                <w:u w:val="single"/>
              </w:rPr>
              <w:t>华能沁北发电有限责任公司</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pacing w:val="-20"/>
                <w:sz w:val="28"/>
                <w:szCs w:val="28"/>
              </w:rPr>
              <w:t>采购代理机构</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黑体" w:hAnsi="黑体" w:eastAsia="黑体"/>
                <w:color w:val="FF0000"/>
                <w:sz w:val="28"/>
                <w:szCs w:val="28"/>
                <w:u w:val="single"/>
              </w:rPr>
            </w:pPr>
            <w:r>
              <w:rPr>
                <w:rFonts w:hint="eastAsia"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z w:val="28"/>
                <w:szCs w:val="28"/>
              </w:rPr>
              <w:t>日      期</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楷体" w:hAnsi="楷体" w:eastAsia="楷体"/>
                <w:sz w:val="28"/>
                <w:szCs w:val="28"/>
                <w:u w:val="single"/>
              </w:rPr>
            </w:pPr>
            <w:r>
              <w:rPr>
                <w:rFonts w:hint="eastAsia" w:ascii="楷体" w:hAnsi="楷体" w:eastAsia="楷体"/>
                <w:sz w:val="28"/>
                <w:szCs w:val="28"/>
                <w:u w:val="single"/>
              </w:rPr>
              <w:t xml:space="preserve"> 2022年7月</w:t>
            </w:r>
          </w:p>
        </w:tc>
      </w:tr>
    </w:tbl>
    <w:p>
      <w:pPr>
        <w:pStyle w:val="2"/>
        <w:ind w:firstLine="880"/>
        <w:jc w:val="center"/>
        <w:rPr>
          <w:rFonts w:ascii="黑体" w:eastAsia="黑体"/>
          <w:b w:val="0"/>
          <w:szCs w:val="32"/>
        </w:rPr>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pgNumType w:start="0"/>
          <w:cols w:space="720" w:num="1"/>
          <w:titlePg/>
          <w:docGrid w:linePitch="326" w:charSpace="0"/>
        </w:sectPr>
      </w:pPr>
      <w:bookmarkStart w:id="0" w:name="_Toc525134786"/>
    </w:p>
    <w:bookmarkEnd w:id="0"/>
    <w:p>
      <w:pPr>
        <w:ind w:firstLine="480"/>
      </w:pPr>
    </w:p>
    <w:p>
      <w:pPr>
        <w:ind w:firstLine="0" w:firstLineChars="0"/>
        <w:jc w:val="center"/>
        <w:rPr>
          <w:b/>
          <w:sz w:val="32"/>
        </w:rPr>
      </w:pPr>
      <w:r>
        <w:rPr>
          <w:rFonts w:hint="eastAsia"/>
          <w:b/>
          <w:sz w:val="32"/>
        </w:rPr>
        <w:t>本项目报名/报价时必须在中国华能集团有限公司电子商务平台上传响应文件（资格审查要求均需提供证明材料），否则视为弃标处理。</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21"/>
        <w:tabs>
          <w:tab w:val="right" w:leader="dot" w:pos="9017"/>
        </w:tabs>
        <w:ind w:firstLine="442"/>
        <w:rPr>
          <w:rFonts w:asciiTheme="minorHAnsi" w:hAnsiTheme="minorHAnsi" w:eastAsiaTheme="minorEastAsia" w:cstheme="minorBidi"/>
          <w:sz w:val="21"/>
          <w:szCs w:val="22"/>
        </w:rPr>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r>
        <w:fldChar w:fldCharType="begin"/>
      </w:r>
      <w:r>
        <w:instrText xml:space="preserve"> HYPERLINK \l "_Toc98316820" </w:instrText>
      </w:r>
      <w:r>
        <w:fldChar w:fldCharType="separate"/>
      </w:r>
      <w:r>
        <w:rPr>
          <w:rStyle w:val="35"/>
          <w:rFonts w:hint="eastAsia"/>
        </w:rPr>
        <w:t>第一章采购公告</w:t>
      </w:r>
      <w:r>
        <w:tab/>
      </w:r>
      <w:r>
        <w:fldChar w:fldCharType="begin"/>
      </w:r>
      <w:r>
        <w:instrText xml:space="preserve"> PAGEREF _Toc98316820 \h </w:instrText>
      </w:r>
      <w:r>
        <w:fldChar w:fldCharType="separate"/>
      </w:r>
      <w:r>
        <w:t>4</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"_Toc98316821" </w:instrText>
      </w:r>
      <w:r>
        <w:fldChar w:fldCharType="separate"/>
      </w:r>
      <w:r>
        <w:rPr>
          <w:rStyle w:val="35"/>
          <w:rFonts w:hint="eastAsia"/>
        </w:rPr>
        <w:t>第一章采购公告（合格供应商公开）</w:t>
      </w:r>
      <w:r>
        <w:tab/>
      </w:r>
      <w:r>
        <w:fldChar w:fldCharType="begin"/>
      </w:r>
      <w:r>
        <w:instrText xml:space="preserve"> PAGEREF _Toc98316821 \h </w:instrText>
      </w:r>
      <w:r>
        <w:fldChar w:fldCharType="separate"/>
      </w:r>
      <w:r>
        <w:t>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"_Toc98316822" </w:instrText>
      </w:r>
      <w:r>
        <w:fldChar w:fldCharType="separate"/>
      </w:r>
      <w:r>
        <w:rPr>
          <w:rStyle w:val="35"/>
        </w:rPr>
        <w:t xml:space="preserve">1. </w:t>
      </w:r>
      <w:r>
        <w:rPr>
          <w:rStyle w:val="35"/>
          <w:rFonts w:hint="eastAsia"/>
        </w:rPr>
        <w:t>采购条件</w:t>
      </w:r>
      <w:r>
        <w:tab/>
      </w:r>
      <w:r>
        <w:fldChar w:fldCharType="begin"/>
      </w:r>
      <w:r>
        <w:instrText xml:space="preserve"> PAGEREF _Toc98316822 \h </w:instrText>
      </w:r>
      <w:r>
        <w:fldChar w:fldCharType="separate"/>
      </w:r>
      <w:r>
        <w:t>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"_Toc98316823" </w:instrText>
      </w:r>
      <w:r>
        <w:fldChar w:fldCharType="separate"/>
      </w:r>
      <w:r>
        <w:rPr>
          <w:rStyle w:val="35"/>
        </w:rPr>
        <w:t xml:space="preserve">2. </w:t>
      </w:r>
      <w:r>
        <w:rPr>
          <w:rStyle w:val="35"/>
          <w:rFonts w:hint="eastAsia"/>
        </w:rPr>
        <w:t>项目概况与采购范围</w:t>
      </w:r>
      <w:r>
        <w:tab/>
      </w:r>
      <w:r>
        <w:fldChar w:fldCharType="begin"/>
      </w:r>
      <w:r>
        <w:instrText xml:space="preserve"> PAGEREF _Toc98316823 \h </w:instrText>
      </w:r>
      <w:r>
        <w:fldChar w:fldCharType="separate"/>
      </w:r>
      <w:r>
        <w:t>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"_Toc98316824" </w:instrText>
      </w:r>
      <w:r>
        <w:fldChar w:fldCharType="separate"/>
      </w:r>
      <w:r>
        <w:rPr>
          <w:rStyle w:val="35"/>
        </w:rPr>
        <w:t xml:space="preserve">3. </w:t>
      </w:r>
      <w:r>
        <w:rPr>
          <w:rStyle w:val="35"/>
          <w:rFonts w:hint="eastAsia"/>
        </w:rPr>
        <w:t>供应商资格要求</w:t>
      </w:r>
      <w:r>
        <w:tab/>
      </w:r>
      <w:r>
        <w:fldChar w:fldCharType="begin"/>
      </w:r>
      <w:r>
        <w:instrText xml:space="preserve"> PAGEREF _Toc98316824 \h </w:instrText>
      </w:r>
      <w:r>
        <w:fldChar w:fldCharType="separate"/>
      </w:r>
      <w:r>
        <w:t>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"_Toc98316825" </w:instrText>
      </w:r>
      <w:r>
        <w:fldChar w:fldCharType="separate"/>
      </w:r>
      <w:r>
        <w:rPr>
          <w:rStyle w:val="35"/>
        </w:rPr>
        <w:t xml:space="preserve">4. </w:t>
      </w:r>
      <w:r>
        <w:rPr>
          <w:rStyle w:val="35"/>
          <w:rFonts w:hint="eastAsia"/>
        </w:rPr>
        <w:t>采购文件的获取</w:t>
      </w:r>
      <w:r>
        <w:tab/>
      </w:r>
      <w:r>
        <w:fldChar w:fldCharType="begin"/>
      </w:r>
      <w:r>
        <w:instrText xml:space="preserve"> PAGEREF _Toc98316825 \h </w:instrText>
      </w:r>
      <w:r>
        <w:fldChar w:fldCharType="separate"/>
      </w:r>
      <w:r>
        <w:t>6</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"_Toc98316826" </w:instrText>
      </w:r>
      <w:r>
        <w:fldChar w:fldCharType="separate"/>
      </w:r>
      <w:r>
        <w:rPr>
          <w:rStyle w:val="35"/>
        </w:rPr>
        <w:t xml:space="preserve">5. </w:t>
      </w:r>
      <w:r>
        <w:rPr>
          <w:rStyle w:val="35"/>
          <w:rFonts w:hint="eastAsia"/>
        </w:rPr>
        <w:t>响应文件的递交</w:t>
      </w:r>
      <w:r>
        <w:tab/>
      </w:r>
      <w:r>
        <w:fldChar w:fldCharType="begin"/>
      </w:r>
      <w:r>
        <w:instrText xml:space="preserve"> PAGEREF _Toc98316826 \h </w:instrText>
      </w:r>
      <w:r>
        <w:fldChar w:fldCharType="separate"/>
      </w:r>
      <w:r>
        <w:t>6</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"_Toc98316827" </w:instrText>
      </w:r>
      <w:r>
        <w:fldChar w:fldCharType="separate"/>
      </w:r>
      <w:r>
        <w:rPr>
          <w:rStyle w:val="35"/>
        </w:rPr>
        <w:t xml:space="preserve">6. </w:t>
      </w:r>
      <w:r>
        <w:rPr>
          <w:rStyle w:val="35"/>
          <w:rFonts w:hint="eastAsia"/>
        </w:rPr>
        <w:t>发布公告的媒介</w:t>
      </w:r>
      <w:r>
        <w:tab/>
      </w:r>
      <w:r>
        <w:fldChar w:fldCharType="begin"/>
      </w:r>
      <w:r>
        <w:instrText xml:space="preserve"> PAGEREF _Toc98316827 \h </w:instrText>
      </w:r>
      <w:r>
        <w:fldChar w:fldCharType="separate"/>
      </w:r>
      <w:r>
        <w:t>7</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"_Toc98316828" </w:instrText>
      </w:r>
      <w:r>
        <w:fldChar w:fldCharType="separate"/>
      </w:r>
      <w:r>
        <w:rPr>
          <w:rStyle w:val="35"/>
        </w:rPr>
        <w:t xml:space="preserve">7. </w:t>
      </w:r>
      <w:r>
        <w:rPr>
          <w:rStyle w:val="35"/>
          <w:rFonts w:hint="eastAsia"/>
        </w:rPr>
        <w:t>联系方式</w:t>
      </w:r>
      <w:r>
        <w:tab/>
      </w:r>
      <w:r>
        <w:fldChar w:fldCharType="begin"/>
      </w:r>
      <w:r>
        <w:instrText xml:space="preserve"> PAGEREF _Toc98316828 \h </w:instrText>
      </w:r>
      <w:r>
        <w:fldChar w:fldCharType="separate"/>
      </w:r>
      <w:r>
        <w:t>7</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"_Toc98316829" </w:instrText>
      </w:r>
      <w:r>
        <w:fldChar w:fldCharType="separate"/>
      </w:r>
      <w:r>
        <w:rPr>
          <w:rStyle w:val="35"/>
          <w:rFonts w:hint="eastAsia"/>
        </w:rPr>
        <w:t>第二章供应商须知及前附表</w:t>
      </w:r>
      <w:r>
        <w:tab/>
      </w:r>
      <w:r>
        <w:fldChar w:fldCharType="begin"/>
      </w:r>
      <w:r>
        <w:instrText xml:space="preserve"> PAGEREF _Toc98316829 \h </w:instrText>
      </w:r>
      <w:r>
        <w:fldChar w:fldCharType="separate"/>
      </w:r>
      <w:r>
        <w:t>8</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"_Toc98316830" </w:instrText>
      </w:r>
      <w:r>
        <w:fldChar w:fldCharType="separate"/>
      </w:r>
      <w:r>
        <w:rPr>
          <w:rStyle w:val="35"/>
          <w:rFonts w:hint="eastAsia"/>
        </w:rPr>
        <w:t>供应商须知前附表</w:t>
      </w:r>
      <w:r>
        <w:tab/>
      </w:r>
      <w:r>
        <w:fldChar w:fldCharType="begin"/>
      </w:r>
      <w:r>
        <w:instrText xml:space="preserve"> PAGEREF _Toc98316830 \h </w:instrText>
      </w:r>
      <w:r>
        <w:fldChar w:fldCharType="separate"/>
      </w:r>
      <w:r>
        <w:t>9</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"_Toc98316831" </w:instrText>
      </w:r>
      <w:r>
        <w:fldChar w:fldCharType="separate"/>
      </w:r>
      <w:r>
        <w:rPr>
          <w:rStyle w:val="35"/>
        </w:rPr>
        <w:t xml:space="preserve">1. </w:t>
      </w:r>
      <w:r>
        <w:rPr>
          <w:rStyle w:val="35"/>
          <w:rFonts w:hint="eastAsia"/>
        </w:rPr>
        <w:t>适用范围</w:t>
      </w:r>
      <w:r>
        <w:tab/>
      </w:r>
      <w:r>
        <w:fldChar w:fldCharType="begin"/>
      </w:r>
      <w:r>
        <w:instrText xml:space="preserve"> PAGEREF _Toc98316831 \h </w:instrText>
      </w:r>
      <w:r>
        <w:fldChar w:fldCharType="separate"/>
      </w:r>
      <w:r>
        <w:t>10</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"_Toc98316832" </w:instrText>
      </w:r>
      <w:r>
        <w:fldChar w:fldCharType="separate"/>
      </w:r>
      <w:r>
        <w:rPr>
          <w:rStyle w:val="35"/>
        </w:rPr>
        <w:t xml:space="preserve">2. </w:t>
      </w:r>
      <w:r>
        <w:rPr>
          <w:rStyle w:val="35"/>
          <w:rFonts w:hint="eastAsia"/>
        </w:rPr>
        <w:t>定义</w:t>
      </w:r>
      <w:r>
        <w:tab/>
      </w:r>
      <w:r>
        <w:fldChar w:fldCharType="begin"/>
      </w:r>
      <w:r>
        <w:instrText xml:space="preserve"> PAGEREF _Toc98316832 \h </w:instrText>
      </w:r>
      <w:r>
        <w:fldChar w:fldCharType="separate"/>
      </w:r>
      <w:r>
        <w:t>10</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"_Toc98316833" </w:instrText>
      </w:r>
      <w:r>
        <w:fldChar w:fldCharType="separate"/>
      </w:r>
      <w:r>
        <w:rPr>
          <w:rStyle w:val="35"/>
        </w:rPr>
        <w:t xml:space="preserve">3. </w:t>
      </w:r>
      <w:r>
        <w:rPr>
          <w:rStyle w:val="35"/>
          <w:rFonts w:hint="eastAsia"/>
        </w:rPr>
        <w:t>询价费用</w:t>
      </w:r>
      <w:r>
        <w:tab/>
      </w:r>
      <w:r>
        <w:fldChar w:fldCharType="begin"/>
      </w:r>
      <w:r>
        <w:instrText xml:space="preserve"> PAGEREF _Toc98316833 \h </w:instrText>
      </w:r>
      <w:r>
        <w:fldChar w:fldCharType="separate"/>
      </w:r>
      <w:r>
        <w:t>10</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"_Toc98316834" </w:instrText>
      </w:r>
      <w:r>
        <w:fldChar w:fldCharType="separate"/>
      </w:r>
      <w:r>
        <w:rPr>
          <w:rStyle w:val="35"/>
        </w:rPr>
        <w:t xml:space="preserve">4. </w:t>
      </w:r>
      <w:r>
        <w:rPr>
          <w:rStyle w:val="35"/>
          <w:rFonts w:hint="eastAsia"/>
        </w:rPr>
        <w:t>现场踏勘</w:t>
      </w:r>
      <w:r>
        <w:tab/>
      </w:r>
      <w:r>
        <w:fldChar w:fldCharType="begin"/>
      </w:r>
      <w:r>
        <w:instrText xml:space="preserve"> PAGEREF _Toc98316834 \h </w:instrText>
      </w:r>
      <w:r>
        <w:fldChar w:fldCharType="separate"/>
      </w:r>
      <w:r>
        <w:t>10</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"_Toc98316835" </w:instrText>
      </w:r>
      <w:r>
        <w:fldChar w:fldCharType="separate"/>
      </w:r>
      <w:r>
        <w:rPr>
          <w:rStyle w:val="35"/>
        </w:rPr>
        <w:t xml:space="preserve">5. </w:t>
      </w:r>
      <w:r>
        <w:rPr>
          <w:rStyle w:val="35"/>
          <w:rFonts w:hint="eastAsia"/>
        </w:rPr>
        <w:t>采购文件的构成</w:t>
      </w:r>
      <w:r>
        <w:tab/>
      </w:r>
      <w:r>
        <w:fldChar w:fldCharType="begin"/>
      </w:r>
      <w:r>
        <w:instrText xml:space="preserve"> PAGEREF _Toc98316835 \h </w:instrText>
      </w:r>
      <w:r>
        <w:fldChar w:fldCharType="separate"/>
      </w:r>
      <w:r>
        <w:t>10</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"_Toc98316836" </w:instrText>
      </w:r>
      <w:r>
        <w:fldChar w:fldCharType="separate"/>
      </w:r>
      <w:r>
        <w:rPr>
          <w:rStyle w:val="35"/>
        </w:rPr>
        <w:t xml:space="preserve">6. </w:t>
      </w:r>
      <w:r>
        <w:rPr>
          <w:rStyle w:val="35"/>
          <w:rFonts w:hint="eastAsia"/>
        </w:rPr>
        <w:t>采购文件的澄清、修改、补充</w:t>
      </w:r>
      <w:r>
        <w:tab/>
      </w:r>
      <w:r>
        <w:fldChar w:fldCharType="begin"/>
      </w:r>
      <w:r>
        <w:instrText xml:space="preserve"> PAGEREF _Toc98316836 \h </w:instrText>
      </w:r>
      <w:r>
        <w:fldChar w:fldCharType="separate"/>
      </w:r>
      <w:r>
        <w:t>11</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"_Toc98316837" </w:instrText>
      </w:r>
      <w:r>
        <w:fldChar w:fldCharType="separate"/>
      </w:r>
      <w:r>
        <w:rPr>
          <w:rStyle w:val="35"/>
        </w:rPr>
        <w:t xml:space="preserve">7. </w:t>
      </w:r>
      <w:r>
        <w:rPr>
          <w:rStyle w:val="35"/>
          <w:rFonts w:hint="eastAsia"/>
        </w:rPr>
        <w:t>编制基本要求</w:t>
      </w:r>
      <w:r>
        <w:tab/>
      </w:r>
      <w:r>
        <w:fldChar w:fldCharType="begin"/>
      </w:r>
      <w:r>
        <w:instrText xml:space="preserve"> PAGEREF _Toc98316837 \h </w:instrText>
      </w:r>
      <w:r>
        <w:fldChar w:fldCharType="separate"/>
      </w:r>
      <w:r>
        <w:t>11</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"_Toc98316838" </w:instrText>
      </w:r>
      <w:r>
        <w:fldChar w:fldCharType="separate"/>
      </w:r>
      <w:r>
        <w:rPr>
          <w:rStyle w:val="35"/>
        </w:rPr>
        <w:t xml:space="preserve">8. </w:t>
      </w:r>
      <w:r>
        <w:rPr>
          <w:rStyle w:val="35"/>
          <w:rFonts w:hint="eastAsia"/>
        </w:rPr>
        <w:t>语言和计量单位</w:t>
      </w:r>
      <w:r>
        <w:tab/>
      </w:r>
      <w:r>
        <w:fldChar w:fldCharType="begin"/>
      </w:r>
      <w:r>
        <w:instrText xml:space="preserve"> PAGEREF _Toc98316838 \h </w:instrText>
      </w:r>
      <w:r>
        <w:fldChar w:fldCharType="separate"/>
      </w:r>
      <w:r>
        <w:t>12</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"_Toc98316839" </w:instrText>
      </w:r>
      <w:r>
        <w:fldChar w:fldCharType="separate"/>
      </w:r>
      <w:r>
        <w:rPr>
          <w:rStyle w:val="35"/>
        </w:rPr>
        <w:t xml:space="preserve">9. </w:t>
      </w:r>
      <w:r>
        <w:rPr>
          <w:rStyle w:val="35"/>
          <w:rFonts w:hint="eastAsia"/>
        </w:rPr>
        <w:t>报价</w:t>
      </w:r>
      <w:r>
        <w:tab/>
      </w:r>
      <w:r>
        <w:fldChar w:fldCharType="begin"/>
      </w:r>
      <w:r>
        <w:instrText xml:space="preserve"> PAGEREF _Toc98316839 \h </w:instrText>
      </w:r>
      <w:r>
        <w:fldChar w:fldCharType="separate"/>
      </w:r>
      <w:r>
        <w:t>12</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"_Toc98316840" </w:instrText>
      </w:r>
      <w:r>
        <w:fldChar w:fldCharType="separate"/>
      </w:r>
      <w:r>
        <w:rPr>
          <w:rStyle w:val="35"/>
        </w:rPr>
        <w:t xml:space="preserve">10. </w:t>
      </w:r>
      <w:r>
        <w:rPr>
          <w:rStyle w:val="35"/>
          <w:rFonts w:hint="eastAsia"/>
        </w:rPr>
        <w:t>报价货币</w:t>
      </w:r>
      <w:r>
        <w:tab/>
      </w:r>
      <w:r>
        <w:fldChar w:fldCharType="begin"/>
      </w:r>
      <w:r>
        <w:instrText xml:space="preserve"> PAGEREF _Toc98316840 \h </w:instrText>
      </w:r>
      <w:r>
        <w:fldChar w:fldCharType="separate"/>
      </w:r>
      <w:r>
        <w:t>12</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"_Toc98316841" </w:instrText>
      </w:r>
      <w:r>
        <w:fldChar w:fldCharType="separate"/>
      </w:r>
      <w:r>
        <w:rPr>
          <w:rStyle w:val="35"/>
        </w:rPr>
        <w:t xml:space="preserve">11. </w:t>
      </w:r>
      <w:r>
        <w:rPr>
          <w:rStyle w:val="35"/>
          <w:rFonts w:hint="eastAsia"/>
        </w:rPr>
        <w:t>响应保证金</w:t>
      </w:r>
      <w:r>
        <w:tab/>
      </w:r>
      <w:r>
        <w:fldChar w:fldCharType="begin"/>
      </w:r>
      <w:r>
        <w:instrText xml:space="preserve"> PAGEREF _Toc98316841 \h </w:instrText>
      </w:r>
      <w:r>
        <w:fldChar w:fldCharType="separate"/>
      </w:r>
      <w:r>
        <w:t>12</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"_Toc98316842" </w:instrText>
      </w:r>
      <w:r>
        <w:fldChar w:fldCharType="separate"/>
      </w:r>
      <w:r>
        <w:rPr>
          <w:rStyle w:val="35"/>
        </w:rPr>
        <w:t xml:space="preserve">12. </w:t>
      </w:r>
      <w:r>
        <w:rPr>
          <w:rStyle w:val="35"/>
          <w:rFonts w:hint="eastAsia"/>
        </w:rPr>
        <w:t>采购有效期</w:t>
      </w:r>
      <w:r>
        <w:tab/>
      </w:r>
      <w:r>
        <w:fldChar w:fldCharType="begin"/>
      </w:r>
      <w:r>
        <w:instrText xml:space="preserve"> PAGEREF _Toc98316842 \h </w:instrText>
      </w:r>
      <w:r>
        <w:fldChar w:fldCharType="separate"/>
      </w:r>
      <w:r>
        <w:t>13</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"_Toc98316843" </w:instrText>
      </w:r>
      <w:r>
        <w:fldChar w:fldCharType="separate"/>
      </w:r>
      <w:r>
        <w:rPr>
          <w:rStyle w:val="35"/>
        </w:rPr>
        <w:t xml:space="preserve">13. </w:t>
      </w:r>
      <w:r>
        <w:rPr>
          <w:rStyle w:val="35"/>
          <w:rFonts w:hint="eastAsia"/>
        </w:rPr>
        <w:t>响应文件递交截止时间及地点</w:t>
      </w:r>
      <w:r>
        <w:tab/>
      </w:r>
      <w:r>
        <w:fldChar w:fldCharType="begin"/>
      </w:r>
      <w:r>
        <w:instrText xml:space="preserve"> PAGEREF _Toc98316843 \h </w:instrText>
      </w:r>
      <w:r>
        <w:fldChar w:fldCharType="separate"/>
      </w:r>
      <w:r>
        <w:t>13</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"_Toc98316844" </w:instrText>
      </w:r>
      <w:r>
        <w:fldChar w:fldCharType="separate"/>
      </w:r>
      <w:r>
        <w:rPr>
          <w:rStyle w:val="35"/>
        </w:rPr>
        <w:t xml:space="preserve">14. </w:t>
      </w:r>
      <w:r>
        <w:rPr>
          <w:rStyle w:val="35"/>
          <w:rFonts w:hint="eastAsia"/>
        </w:rPr>
        <w:t>响应文件的修改和撤销</w:t>
      </w:r>
      <w:r>
        <w:tab/>
      </w:r>
      <w:r>
        <w:fldChar w:fldCharType="begin"/>
      </w:r>
      <w:r>
        <w:instrText xml:space="preserve"> PAGEREF _Toc98316844 \h </w:instrText>
      </w:r>
      <w:r>
        <w:fldChar w:fldCharType="separate"/>
      </w:r>
      <w:r>
        <w:t>13</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"_Toc98316845" </w:instrText>
      </w:r>
      <w:r>
        <w:fldChar w:fldCharType="separate"/>
      </w:r>
      <w:r>
        <w:rPr>
          <w:rStyle w:val="35"/>
        </w:rPr>
        <w:t xml:space="preserve">15. </w:t>
      </w:r>
      <w:r>
        <w:rPr>
          <w:rStyle w:val="35"/>
          <w:rFonts w:hint="eastAsia"/>
        </w:rPr>
        <w:t>询价小组</w:t>
      </w:r>
      <w:r>
        <w:tab/>
      </w:r>
      <w:r>
        <w:fldChar w:fldCharType="begin"/>
      </w:r>
      <w:r>
        <w:instrText xml:space="preserve"> PAGEREF _Toc98316845 \h </w:instrText>
      </w:r>
      <w:r>
        <w:fldChar w:fldCharType="separate"/>
      </w:r>
      <w:r>
        <w:t>13</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"_Toc98316846" </w:instrText>
      </w:r>
      <w:r>
        <w:fldChar w:fldCharType="separate"/>
      </w:r>
      <w:r>
        <w:rPr>
          <w:rStyle w:val="35"/>
        </w:rPr>
        <w:t xml:space="preserve">16. </w:t>
      </w:r>
      <w:r>
        <w:rPr>
          <w:rStyle w:val="35"/>
          <w:rFonts w:hint="eastAsia"/>
        </w:rPr>
        <w:t>开启响应文件</w:t>
      </w:r>
      <w:r>
        <w:tab/>
      </w:r>
      <w:r>
        <w:fldChar w:fldCharType="begin"/>
      </w:r>
      <w:r>
        <w:instrText xml:space="preserve"> PAGEREF _Toc98316846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"_Toc98316847" </w:instrText>
      </w:r>
      <w:r>
        <w:fldChar w:fldCharType="separate"/>
      </w:r>
      <w:r>
        <w:rPr>
          <w:rStyle w:val="35"/>
        </w:rPr>
        <w:t xml:space="preserve">17. </w:t>
      </w:r>
      <w:r>
        <w:rPr>
          <w:rStyle w:val="35"/>
          <w:rFonts w:hint="eastAsia"/>
        </w:rPr>
        <w:t>评审方法</w:t>
      </w:r>
      <w:r>
        <w:tab/>
      </w:r>
      <w:r>
        <w:fldChar w:fldCharType="begin"/>
      </w:r>
      <w:r>
        <w:instrText xml:space="preserve"> PAGEREF _Toc98316847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"_Toc98316848" </w:instrText>
      </w:r>
      <w:r>
        <w:fldChar w:fldCharType="separate"/>
      </w:r>
      <w:r>
        <w:rPr>
          <w:rStyle w:val="35"/>
        </w:rPr>
        <w:t xml:space="preserve">18. </w:t>
      </w:r>
      <w:r>
        <w:rPr>
          <w:rStyle w:val="35"/>
          <w:rFonts w:hint="eastAsia"/>
        </w:rPr>
        <w:t>确定成交供应商</w:t>
      </w:r>
      <w:r>
        <w:tab/>
      </w:r>
      <w:r>
        <w:fldChar w:fldCharType="begin"/>
      </w:r>
      <w:r>
        <w:instrText xml:space="preserve"> PAGEREF _Toc98316848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"_Toc98316849" </w:instrText>
      </w:r>
      <w:r>
        <w:fldChar w:fldCharType="separate"/>
      </w:r>
      <w:r>
        <w:rPr>
          <w:rStyle w:val="35"/>
        </w:rPr>
        <w:t xml:space="preserve">19. </w:t>
      </w:r>
      <w:r>
        <w:rPr>
          <w:rStyle w:val="35"/>
          <w:rFonts w:hint="eastAsia"/>
        </w:rPr>
        <w:t>采购结果公告</w:t>
      </w:r>
      <w:r>
        <w:tab/>
      </w:r>
      <w:r>
        <w:fldChar w:fldCharType="begin"/>
      </w:r>
      <w:r>
        <w:instrText xml:space="preserve"> PAGEREF _Toc98316849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"_Toc98316850" </w:instrText>
      </w:r>
      <w:r>
        <w:fldChar w:fldCharType="separate"/>
      </w:r>
      <w:r>
        <w:rPr>
          <w:rStyle w:val="35"/>
        </w:rPr>
        <w:t xml:space="preserve">20. </w:t>
      </w:r>
      <w:r>
        <w:rPr>
          <w:rStyle w:val="35"/>
          <w:rFonts w:hint="eastAsia"/>
        </w:rPr>
        <w:t>成交通知</w:t>
      </w:r>
      <w:r>
        <w:tab/>
      </w:r>
      <w:r>
        <w:fldChar w:fldCharType="begin"/>
      </w:r>
      <w:r>
        <w:instrText xml:space="preserve"> PAGEREF _Toc98316850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"_Toc98316851" </w:instrText>
      </w:r>
      <w:r>
        <w:fldChar w:fldCharType="separate"/>
      </w:r>
      <w:r>
        <w:rPr>
          <w:rStyle w:val="35"/>
        </w:rPr>
        <w:t xml:space="preserve">21. </w:t>
      </w:r>
      <w:r>
        <w:rPr>
          <w:rStyle w:val="35"/>
          <w:rFonts w:hint="eastAsia"/>
        </w:rPr>
        <w:t>签订合同</w:t>
      </w:r>
      <w:r>
        <w:tab/>
      </w:r>
      <w:r>
        <w:fldChar w:fldCharType="begin"/>
      </w:r>
      <w:r>
        <w:instrText xml:space="preserve"> PAGEREF _Toc98316851 \h </w:instrText>
      </w:r>
      <w:r>
        <w:fldChar w:fldCharType="separate"/>
      </w:r>
      <w:r>
        <w:t>14</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"_Toc98316852" </w:instrText>
      </w:r>
      <w:r>
        <w:fldChar w:fldCharType="separate"/>
      </w:r>
      <w:r>
        <w:rPr>
          <w:rStyle w:val="35"/>
        </w:rPr>
        <w:t xml:space="preserve">22. </w:t>
      </w:r>
      <w:r>
        <w:rPr>
          <w:rStyle w:val="35"/>
          <w:rFonts w:hint="eastAsia"/>
        </w:rPr>
        <w:t>其他需要补充的内容</w:t>
      </w:r>
      <w:r>
        <w:tab/>
      </w:r>
      <w:r>
        <w:fldChar w:fldCharType="begin"/>
      </w:r>
      <w:r>
        <w:instrText xml:space="preserve"> PAGEREF _Toc98316852 \h </w:instrText>
      </w:r>
      <w:r>
        <w:fldChar w:fldCharType="separate"/>
      </w:r>
      <w:r>
        <w:t>14</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"_Toc98316853" </w:instrText>
      </w:r>
      <w:r>
        <w:fldChar w:fldCharType="separate"/>
      </w:r>
      <w:r>
        <w:rPr>
          <w:rStyle w:val="35"/>
          <w:rFonts w:hint="eastAsia"/>
        </w:rPr>
        <w:t>第三章评审办法</w:t>
      </w:r>
      <w:r>
        <w:tab/>
      </w:r>
      <w:r>
        <w:fldChar w:fldCharType="begin"/>
      </w:r>
      <w:r>
        <w:instrText xml:space="preserve"> PAGEREF _Toc98316853 \h </w:instrText>
      </w:r>
      <w:r>
        <w:fldChar w:fldCharType="separate"/>
      </w:r>
      <w:r>
        <w:t>15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"_Toc98316854" </w:instrText>
      </w:r>
      <w:r>
        <w:fldChar w:fldCharType="separate"/>
      </w:r>
      <w:r>
        <w:rPr>
          <w:rStyle w:val="35"/>
          <w:rFonts w:hint="eastAsia"/>
        </w:rPr>
        <w:t>一、总则</w:t>
      </w:r>
      <w:r>
        <w:tab/>
      </w:r>
      <w:r>
        <w:fldChar w:fldCharType="begin"/>
      </w:r>
      <w:r>
        <w:instrText xml:space="preserve"> PAGEREF _Toc98316854 \h </w:instrText>
      </w:r>
      <w:r>
        <w:fldChar w:fldCharType="separate"/>
      </w:r>
      <w:r>
        <w:t>15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"_Toc98316855" </w:instrText>
      </w:r>
      <w:r>
        <w:fldChar w:fldCharType="separate"/>
      </w:r>
      <w:r>
        <w:rPr>
          <w:rStyle w:val="35"/>
          <w:rFonts w:hint="eastAsia"/>
        </w:rPr>
        <w:t>二、评审方法</w:t>
      </w:r>
      <w:r>
        <w:tab/>
      </w:r>
      <w:r>
        <w:fldChar w:fldCharType="begin"/>
      </w:r>
      <w:r>
        <w:instrText xml:space="preserve"> PAGEREF _Toc98316855 \h </w:instrText>
      </w:r>
      <w:r>
        <w:fldChar w:fldCharType="separate"/>
      </w:r>
      <w:r>
        <w:t>15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"_Toc98316856" </w:instrText>
      </w:r>
      <w:r>
        <w:fldChar w:fldCharType="separate"/>
      </w:r>
      <w:r>
        <w:rPr>
          <w:rStyle w:val="35"/>
          <w:rFonts w:hint="eastAsia"/>
        </w:rPr>
        <w:t>三、评审程序</w:t>
      </w:r>
      <w:r>
        <w:tab/>
      </w:r>
      <w:r>
        <w:fldChar w:fldCharType="begin"/>
      </w:r>
      <w:r>
        <w:instrText xml:space="preserve"> PAGEREF _Toc98316856 \h </w:instrText>
      </w:r>
      <w:r>
        <w:fldChar w:fldCharType="separate"/>
      </w:r>
      <w:r>
        <w:t>15</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"_Toc98316857" </w:instrText>
      </w:r>
      <w:r>
        <w:fldChar w:fldCharType="separate"/>
      </w:r>
      <w:r>
        <w:rPr>
          <w:rStyle w:val="35"/>
          <w:rFonts w:hint="eastAsia"/>
        </w:rPr>
        <w:t>四、推荐成交供应商</w:t>
      </w:r>
      <w:r>
        <w:tab/>
      </w:r>
      <w:r>
        <w:fldChar w:fldCharType="begin"/>
      </w:r>
      <w:r>
        <w:instrText xml:space="preserve"> PAGEREF _Toc98316857 \h </w:instrText>
      </w:r>
      <w:r>
        <w:fldChar w:fldCharType="separate"/>
      </w:r>
      <w:r>
        <w:t>16</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"_Toc98316858" </w:instrText>
      </w:r>
      <w:r>
        <w:fldChar w:fldCharType="separate"/>
      </w:r>
      <w:r>
        <w:rPr>
          <w:rStyle w:val="35"/>
          <w:rFonts w:hint="eastAsia"/>
        </w:rPr>
        <w:t>第四章合同条款及格式</w:t>
      </w:r>
      <w:r>
        <w:tab/>
      </w:r>
      <w:r>
        <w:fldChar w:fldCharType="begin"/>
      </w:r>
      <w:r>
        <w:instrText xml:space="preserve"> PAGEREF _Toc98316858 \h </w:instrText>
      </w:r>
      <w:r>
        <w:fldChar w:fldCharType="separate"/>
      </w:r>
      <w:r>
        <w:t>17</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"_Toc98316859" </w:instrText>
      </w:r>
      <w:r>
        <w:fldChar w:fldCharType="separate"/>
      </w:r>
      <w:r>
        <w:rPr>
          <w:rStyle w:val="35"/>
          <w:rFonts w:hint="eastAsia"/>
        </w:rPr>
        <w:t>第五章技术规范书</w:t>
      </w:r>
      <w:r>
        <w:tab/>
      </w:r>
      <w:r>
        <w:fldChar w:fldCharType="begin"/>
      </w:r>
      <w:r>
        <w:instrText xml:space="preserve"> PAGEREF _Toc98316859 \h </w:instrText>
      </w:r>
      <w:r>
        <w:fldChar w:fldCharType="separate"/>
      </w:r>
      <w:r>
        <w:t>26</w:t>
      </w:r>
      <w:r>
        <w:fldChar w:fldCharType="end"/>
      </w:r>
      <w:r>
        <w:fldChar w:fldCharType="end"/>
      </w:r>
    </w:p>
    <w:p>
      <w:pPr>
        <w:pStyle w:val="21"/>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"_Toc98316860" </w:instrText>
      </w:r>
      <w:r>
        <w:fldChar w:fldCharType="separate"/>
      </w:r>
      <w:r>
        <w:rPr>
          <w:rStyle w:val="35"/>
          <w:rFonts w:hint="eastAsia"/>
        </w:rPr>
        <w:t>第六章响应文件格式</w:t>
      </w:r>
      <w:r>
        <w:tab/>
      </w:r>
      <w:r>
        <w:fldChar w:fldCharType="begin"/>
      </w:r>
      <w:r>
        <w:instrText xml:space="preserve"> PAGEREF _Toc98316860 \h </w:instrText>
      </w:r>
      <w:r>
        <w:fldChar w:fldCharType="separate"/>
      </w:r>
      <w:r>
        <w:t>33</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"_Toc98316861" </w:instrText>
      </w:r>
      <w:r>
        <w:fldChar w:fldCharType="separate"/>
      </w:r>
      <w:r>
        <w:rPr>
          <w:rStyle w:val="35"/>
          <w:rFonts w:hint="eastAsia"/>
        </w:rPr>
        <w:t>一、授权委托书</w:t>
      </w:r>
      <w:r>
        <w:tab/>
      </w:r>
      <w:r>
        <w:fldChar w:fldCharType="begin"/>
      </w:r>
      <w:r>
        <w:instrText xml:space="preserve"> PAGEREF _Toc98316861 \h </w:instrText>
      </w:r>
      <w:r>
        <w:fldChar w:fldCharType="separate"/>
      </w:r>
      <w:r>
        <w:t>36</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"_Toc98316862" </w:instrText>
      </w:r>
      <w:r>
        <w:fldChar w:fldCharType="separate"/>
      </w:r>
      <w:r>
        <w:rPr>
          <w:rStyle w:val="35"/>
          <w:rFonts w:hint="eastAsia"/>
        </w:rPr>
        <w:t>二、报价部分</w:t>
      </w:r>
      <w:r>
        <w:tab/>
      </w:r>
      <w:r>
        <w:fldChar w:fldCharType="begin"/>
      </w:r>
      <w:r>
        <w:instrText xml:space="preserve"> PAGEREF _Toc98316862 \h </w:instrText>
      </w:r>
      <w:r>
        <w:fldChar w:fldCharType="separate"/>
      </w:r>
      <w:r>
        <w:t>37</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"_Toc98316863" </w:instrText>
      </w:r>
      <w:r>
        <w:fldChar w:fldCharType="separate"/>
      </w:r>
      <w:r>
        <w:rPr>
          <w:rStyle w:val="35"/>
          <w:rFonts w:hint="eastAsia"/>
        </w:rPr>
        <w:t>三、商务部分</w:t>
      </w:r>
      <w:r>
        <w:tab/>
      </w:r>
      <w:r>
        <w:fldChar w:fldCharType="begin"/>
      </w:r>
      <w:r>
        <w:instrText xml:space="preserve"> PAGEREF _Toc98316863 \h </w:instrText>
      </w:r>
      <w:r>
        <w:fldChar w:fldCharType="separate"/>
      </w:r>
      <w:r>
        <w:t>38</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"_Toc98316864" </w:instrText>
      </w:r>
      <w:r>
        <w:fldChar w:fldCharType="separate"/>
      </w:r>
      <w:r>
        <w:rPr>
          <w:rStyle w:val="35"/>
          <w:rFonts w:hint="eastAsia"/>
        </w:rPr>
        <w:t>四、技术部分</w:t>
      </w:r>
      <w:r>
        <w:tab/>
      </w:r>
      <w:r>
        <w:fldChar w:fldCharType="begin"/>
      </w:r>
      <w:r>
        <w:instrText xml:space="preserve"> PAGEREF _Toc98316864 \h </w:instrText>
      </w:r>
      <w:r>
        <w:fldChar w:fldCharType="separate"/>
      </w:r>
      <w:r>
        <w:t>39</w:t>
      </w:r>
      <w:r>
        <w:fldChar w:fldCharType="end"/>
      </w:r>
      <w:r>
        <w:fldChar w:fldCharType="end"/>
      </w:r>
    </w:p>
    <w:p>
      <w:pPr>
        <w:pStyle w:val="23"/>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"_Toc98316865" </w:instrText>
      </w:r>
      <w:r>
        <w:fldChar w:fldCharType="separate"/>
      </w:r>
      <w:r>
        <w:rPr>
          <w:rStyle w:val="35"/>
          <w:rFonts w:hint="eastAsia"/>
        </w:rPr>
        <w:t>五、偏差表</w:t>
      </w:r>
      <w:r>
        <w:tab/>
      </w:r>
      <w:r>
        <w:fldChar w:fldCharType="begin"/>
      </w:r>
      <w:r>
        <w:instrText xml:space="preserve"> PAGEREF _Toc98316865 \h </w:instrText>
      </w:r>
      <w:r>
        <w:fldChar w:fldCharType="separate"/>
      </w:r>
      <w:r>
        <w:t>40</w:t>
      </w:r>
      <w:r>
        <w:fldChar w:fldCharType="end"/>
      </w:r>
      <w:r>
        <w:fldChar w:fldCharType="end"/>
      </w:r>
    </w:p>
    <w:p>
      <w:pPr>
        <w:spacing w:line="276" w:lineRule="auto"/>
        <w:ind w:left="284" w:firstLineChars="0"/>
        <w:jc w:val="left"/>
      </w:pPr>
      <w:r>
        <w:rPr>
          <w:rFonts w:ascii="宋体" w:hAnsi="宋体" w:cs="Arial"/>
          <w:bCs/>
          <w:caps/>
          <w:sz w:val="22"/>
          <w:szCs w:val="22"/>
        </w:rPr>
        <w:fldChar w:fldCharType="end"/>
      </w:r>
      <w:bookmarkStart w:id="1" w:name="_Toc233104896"/>
    </w:p>
    <w:p>
      <w:pPr>
        <w:pStyle w:val="97"/>
        <w:ind w:firstLine="1040"/>
        <w:jc w:val="center"/>
      </w:pPr>
    </w:p>
    <w:p>
      <w:pPr>
        <w:ind w:firstLine="480"/>
      </w:pPr>
      <w:bookmarkStart w:id="2" w:name="_Toc527120203"/>
      <w:bookmarkStart w:id="3" w:name="_Toc527045600"/>
    </w:p>
    <w:p>
      <w:pPr>
        <w:ind w:firstLine="480"/>
      </w:pPr>
      <w:r>
        <w:br w:type="page"/>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5"/>
        <w:spacing w:before="120"/>
      </w:pPr>
      <w:bookmarkStart w:id="4" w:name="_Toc98316820"/>
      <w:r>
        <w:rPr>
          <w:rFonts w:hint="eastAsia"/>
        </w:rPr>
        <w:t>第一章采购公告</w:t>
      </w:r>
      <w:bookmarkEnd w:id="1"/>
      <w:bookmarkEnd w:id="2"/>
      <w:bookmarkEnd w:id="3"/>
      <w:bookmarkEnd w:id="4"/>
    </w:p>
    <w:p>
      <w:pPr>
        <w:spacing w:line="360" w:lineRule="auto"/>
        <w:ind w:firstLine="482"/>
        <w:rPr>
          <w:rFonts w:ascii="Arial" w:hAnsi="Arial" w:cs="Arial"/>
          <w:b/>
          <w:szCs w:val="21"/>
        </w:rPr>
      </w:pPr>
      <w:r>
        <w:rPr>
          <w:rFonts w:ascii="Arial" w:hAnsi="Arial" w:cs="Arial"/>
          <w:b/>
          <w:szCs w:val="21"/>
        </w:rPr>
        <w:br w:type="page"/>
      </w:r>
    </w:p>
    <w:p>
      <w:pPr>
        <w:pStyle w:val="25"/>
        <w:spacing w:before="120"/>
      </w:pPr>
      <w:bookmarkStart w:id="5" w:name="_Toc47261049"/>
      <w:bookmarkStart w:id="6" w:name="_Toc47261669"/>
      <w:bookmarkStart w:id="7" w:name="_Toc47261864"/>
      <w:bookmarkStart w:id="8" w:name="_Toc47418710"/>
      <w:bookmarkStart w:id="9" w:name="_Toc48791214"/>
      <w:bookmarkStart w:id="10" w:name="_Toc47262048"/>
      <w:bookmarkStart w:id="11" w:name="_Toc48995830"/>
      <w:bookmarkStart w:id="12" w:name="_Toc47418234"/>
      <w:bookmarkStart w:id="13" w:name="_Toc47418917"/>
      <w:bookmarkStart w:id="14" w:name="_Toc49019215"/>
      <w:bookmarkStart w:id="15" w:name="_Toc98316821"/>
      <w:r>
        <w:t>第一章</w:t>
      </w:r>
      <w:bookmarkEnd w:id="5"/>
      <w:bookmarkEnd w:id="6"/>
      <w:bookmarkEnd w:id="7"/>
      <w:bookmarkEnd w:id="8"/>
      <w:bookmarkEnd w:id="9"/>
      <w:bookmarkEnd w:id="10"/>
      <w:bookmarkEnd w:id="11"/>
      <w:bookmarkEnd w:id="12"/>
      <w:bookmarkEnd w:id="13"/>
      <w:bookmarkEnd w:id="14"/>
      <w:r>
        <w:rPr>
          <w:rFonts w:hint="eastAsia"/>
        </w:rPr>
        <w:t>采购公告（合格供应商公开）</w:t>
      </w:r>
      <w:bookmarkEnd w:id="15"/>
    </w:p>
    <w:p>
      <w:pPr>
        <w:spacing w:line="360" w:lineRule="auto"/>
        <w:ind w:firstLine="560"/>
        <w:jc w:val="center"/>
        <w:rPr>
          <w:rFonts w:eastAsia="黑体"/>
          <w:sz w:val="28"/>
          <w:u w:val="single"/>
        </w:rPr>
      </w:pPr>
      <w:bookmarkStart w:id="16" w:name="_Toc18885"/>
      <w:bookmarkEnd w:id="16"/>
      <w:bookmarkStart w:id="17" w:name="_Toc361508574"/>
      <w:bookmarkEnd w:id="17"/>
      <w:bookmarkStart w:id="18" w:name="_Toc369531507"/>
      <w:bookmarkEnd w:id="18"/>
      <w:bookmarkStart w:id="19" w:name="_Toc384308199"/>
      <w:bookmarkEnd w:id="19"/>
      <w:bookmarkStart w:id="20" w:name="_Toc352691465"/>
      <w:bookmarkEnd w:id="20"/>
      <w:bookmarkStart w:id="21" w:name="_Toc361508575"/>
      <w:bookmarkStart w:id="22" w:name="_Toc384308200"/>
      <w:r>
        <w:rPr>
          <w:rFonts w:hint="eastAsia" w:eastAsia="黑体"/>
          <w:bCs/>
          <w:sz w:val="28"/>
          <w:u w:val="single"/>
        </w:rPr>
        <w:t>沁北电厂2022年第三季度分布式光伏发电项目建筑物结构荷载检测鉴定</w:t>
      </w:r>
      <w:r>
        <w:rPr>
          <w:rFonts w:hint="eastAsia" w:eastAsia="黑体"/>
          <w:sz w:val="28"/>
        </w:rPr>
        <w:t>采购</w:t>
      </w:r>
      <w:r>
        <w:rPr>
          <w:rFonts w:eastAsia="黑体"/>
          <w:sz w:val="28"/>
        </w:rPr>
        <w:t>公告</w:t>
      </w:r>
    </w:p>
    <w:p>
      <w:pPr>
        <w:spacing w:line="360" w:lineRule="auto"/>
        <w:ind w:firstLine="2940" w:firstLineChars="1050"/>
        <w:rPr>
          <w:rFonts w:eastAsia="黑体"/>
          <w:sz w:val="20"/>
          <w:u w:val="single"/>
        </w:rPr>
      </w:pPr>
      <w:r>
        <w:rPr>
          <w:rFonts w:hint="eastAsia" w:ascii="黑体" w:eastAsia="黑体"/>
          <w:sz w:val="28"/>
          <w:szCs w:val="28"/>
        </w:rPr>
        <w:t>采购编号：</w:t>
      </w:r>
    </w:p>
    <w:p>
      <w:pPr>
        <w:pStyle w:val="3"/>
        <w:spacing w:before="120"/>
      </w:pPr>
      <w:bookmarkStart w:id="23" w:name="_Toc504312942"/>
      <w:bookmarkStart w:id="24" w:name="_Toc98316822"/>
      <w:r>
        <w:t xml:space="preserve">1. </w:t>
      </w:r>
      <w:r>
        <w:rPr>
          <w:rFonts w:hint="eastAsia"/>
        </w:rPr>
        <w:t>采购</w:t>
      </w:r>
      <w:r>
        <w:t>条件</w:t>
      </w:r>
      <w:bookmarkEnd w:id="23"/>
      <w:bookmarkEnd w:id="24"/>
    </w:p>
    <w:p>
      <w:pPr>
        <w:ind w:firstLine="480"/>
      </w:pPr>
      <w:bookmarkStart w:id="25" w:name="_Toc504312943"/>
      <w:r>
        <w:t>本项目</w:t>
      </w:r>
      <w:r>
        <w:rPr>
          <w:rFonts w:hint="eastAsia" w:ascii="楷体" w:hAnsi="楷体" w:eastAsia="楷体"/>
          <w:bCs/>
          <w:sz w:val="28"/>
          <w:szCs w:val="28"/>
          <w:u w:val="single"/>
        </w:rPr>
        <w:t>沁北电厂2022年第三季度分布式光伏发电项目建筑物结构荷载检测鉴定</w:t>
      </w:r>
      <w:r>
        <w:rPr>
          <w:rFonts w:hint="eastAsia"/>
        </w:rPr>
        <w:t>采购人</w:t>
      </w:r>
      <w:r>
        <w:t>为</w:t>
      </w:r>
      <w:r>
        <w:rPr>
          <w:rFonts w:hint="eastAsia" w:ascii="楷体" w:hAnsi="楷体" w:eastAsia="楷体"/>
          <w:sz w:val="28"/>
          <w:szCs w:val="28"/>
          <w:u w:val="single"/>
        </w:rPr>
        <w:t>华能沁北发电有限责任公司</w:t>
      </w:r>
      <w:r>
        <w:rPr>
          <w:rFonts w:hint="eastAsia"/>
        </w:rPr>
        <w:t>，资金来源</w:t>
      </w:r>
      <w:r>
        <w:t>为</w:t>
      </w:r>
      <w:r>
        <w:rPr>
          <w:rFonts w:hint="eastAsia" w:ascii="楷体" w:hAnsi="楷体" w:eastAsia="楷体"/>
          <w:sz w:val="28"/>
          <w:szCs w:val="28"/>
          <w:u w:val="single"/>
        </w:rPr>
        <w:t>企业自筹</w:t>
      </w:r>
      <w:r>
        <w:t>，</w:t>
      </w:r>
      <w:r>
        <w:rPr>
          <w:rFonts w:hint="eastAsia"/>
        </w:rPr>
        <w:t>该</w:t>
      </w:r>
      <w:r>
        <w:t>项目已具备</w:t>
      </w:r>
      <w:r>
        <w:rPr>
          <w:rFonts w:hint="eastAsia"/>
        </w:rPr>
        <w:t>采购</w:t>
      </w:r>
      <w:r>
        <w:t>条件，现对</w:t>
      </w:r>
      <w:r>
        <w:rPr>
          <w:rFonts w:hint="eastAsia" w:ascii="楷体" w:hAnsi="楷体" w:eastAsia="楷体"/>
          <w:bCs/>
          <w:sz w:val="28"/>
          <w:szCs w:val="28"/>
          <w:u w:val="single"/>
        </w:rPr>
        <w:t>沁北电厂2022年第三季度分布式光伏发电项目建筑物结构荷载检测鉴定</w:t>
      </w:r>
      <w:r>
        <w:t>进行</w:t>
      </w:r>
      <w:r>
        <w:rPr>
          <w:rFonts w:hint="eastAsia"/>
        </w:rPr>
        <w:t>合格供应商公开询价</w:t>
      </w:r>
      <w:r>
        <w:t>。</w:t>
      </w:r>
    </w:p>
    <w:p>
      <w:pPr>
        <w:pStyle w:val="3"/>
        <w:spacing w:before="120"/>
      </w:pPr>
      <w:bookmarkStart w:id="26" w:name="_Toc98316823"/>
      <w:r>
        <w:t xml:space="preserve">2. </w:t>
      </w:r>
      <w:r>
        <w:rPr>
          <w:rFonts w:hint="eastAsia"/>
        </w:rPr>
        <w:t>项目概况与采购范围</w:t>
      </w:r>
      <w:bookmarkEnd w:id="25"/>
      <w:bookmarkEnd w:id="26"/>
    </w:p>
    <w:p>
      <w:pPr>
        <w:ind w:firstLine="480"/>
        <w:jc w:val="left"/>
      </w:pPr>
      <w:bookmarkStart w:id="27" w:name="_Toc98316824"/>
      <w:bookmarkStart w:id="28" w:name="_Toc504312944"/>
      <w:r>
        <w:rPr>
          <w:rFonts w:asciiTheme="minorEastAsia" w:hAnsiTheme="minorEastAsia" w:eastAsiaTheme="minorEastAsia"/>
          <w:bCs/>
          <w:color w:val="000000" w:themeColor="text1"/>
          <w:szCs w:val="24"/>
        </w:rPr>
        <w:t>通过对现有三证齐全建筑物的现场踏看和图纸摸排，暂定在天龙焦化、鲁泰能源、济世药业、济晋高速、中煤科工、富士康、五龙口纳米产业园及</w:t>
      </w:r>
      <w:r>
        <w:rPr>
          <w:rFonts w:hint="eastAsia" w:asciiTheme="minorEastAsia" w:hAnsiTheme="minorEastAsia" w:eastAsiaTheme="minorEastAsia"/>
          <w:bCs/>
          <w:color w:val="000000" w:themeColor="text1"/>
          <w:szCs w:val="24"/>
        </w:rPr>
        <w:t>林安</w:t>
      </w:r>
      <w:r>
        <w:rPr>
          <w:rFonts w:asciiTheme="minorEastAsia" w:hAnsiTheme="minorEastAsia" w:eastAsiaTheme="minorEastAsia"/>
          <w:bCs/>
          <w:color w:val="000000" w:themeColor="text1"/>
          <w:szCs w:val="24"/>
        </w:rPr>
        <w:t>（</w:t>
      </w:r>
      <w:r>
        <w:rPr>
          <w:rFonts w:hint="eastAsia" w:asciiTheme="minorEastAsia" w:hAnsiTheme="minorEastAsia" w:eastAsiaTheme="minorEastAsia"/>
          <w:bCs/>
          <w:color w:val="000000" w:themeColor="text1"/>
          <w:szCs w:val="24"/>
        </w:rPr>
        <w:t>偃师</w:t>
      </w:r>
      <w:r>
        <w:rPr>
          <w:rFonts w:asciiTheme="minorEastAsia" w:hAnsiTheme="minorEastAsia" w:eastAsiaTheme="minorEastAsia"/>
          <w:bCs/>
          <w:color w:val="000000" w:themeColor="text1"/>
          <w:szCs w:val="24"/>
        </w:rPr>
        <w:t>）</w:t>
      </w:r>
      <w:r>
        <w:rPr>
          <w:rFonts w:hint="eastAsia" w:asciiTheme="minorEastAsia" w:hAnsiTheme="minorEastAsia" w:eastAsiaTheme="minorEastAsia"/>
          <w:bCs/>
          <w:color w:val="000000" w:themeColor="text1"/>
          <w:szCs w:val="24"/>
        </w:rPr>
        <w:t>商贸物流城</w:t>
      </w:r>
      <w:r>
        <w:rPr>
          <w:rFonts w:asciiTheme="minorEastAsia" w:hAnsiTheme="minorEastAsia" w:eastAsiaTheme="minorEastAsia"/>
          <w:bCs/>
          <w:color w:val="000000" w:themeColor="text1"/>
          <w:szCs w:val="24"/>
        </w:rPr>
        <w:t>等单位的</w:t>
      </w:r>
      <w:r>
        <w:rPr>
          <w:rFonts w:hint="eastAsia" w:asciiTheme="minorEastAsia" w:hAnsiTheme="minorEastAsia" w:eastAsiaTheme="minorEastAsia"/>
          <w:bCs/>
          <w:color w:val="000000" w:themeColor="text1"/>
          <w:szCs w:val="24"/>
        </w:rPr>
        <w:t>建筑物共计157458平方米的屋顶上建设分布式光伏电站，需对</w:t>
      </w:r>
      <w:r>
        <w:rPr>
          <w:rFonts w:asciiTheme="minorEastAsia" w:hAnsiTheme="minorEastAsia" w:eastAsiaTheme="minorEastAsia"/>
          <w:bCs/>
          <w:color w:val="000000" w:themeColor="text1"/>
          <w:szCs w:val="24"/>
        </w:rPr>
        <w:t>拟建设屋顶分布式光伏电站的建筑物进行</w:t>
      </w:r>
      <w:r>
        <w:rPr>
          <w:rFonts w:hint="eastAsia" w:asciiTheme="minorEastAsia" w:hAnsiTheme="minorEastAsia" w:eastAsiaTheme="minorEastAsia"/>
          <w:bCs/>
          <w:color w:val="000000" w:themeColor="text1"/>
          <w:szCs w:val="24"/>
        </w:rPr>
        <w:t>载荷鉴定，并出具相应的鉴定报告。</w:t>
      </w:r>
    </w:p>
    <w:p>
      <w:pPr>
        <w:ind w:firstLine="480"/>
        <w:jc w:val="left"/>
      </w:pPr>
      <w:r>
        <w:rPr>
          <w:rFonts w:hint="eastAsia"/>
        </w:rPr>
        <w:t>2.1 项目概况：项目</w:t>
      </w:r>
      <w:r>
        <w:rPr>
          <w:rFonts w:hint="eastAsia"/>
          <w:bCs/>
        </w:rPr>
        <w:t>对拟建设分布式光伏电站的建筑物</w:t>
      </w:r>
      <w:r>
        <w:rPr>
          <w:bCs/>
        </w:rPr>
        <w:t>结构荷载进行检测鉴定，对合格的建筑出具</w:t>
      </w:r>
      <w:r>
        <w:rPr>
          <w:rFonts w:hint="eastAsia"/>
          <w:bCs/>
        </w:rPr>
        <w:t>建筑物</w:t>
      </w:r>
      <w:r>
        <w:rPr>
          <w:bCs/>
        </w:rPr>
        <w:t>结构荷载检测鉴定合格报告，对不合格的建筑出具</w:t>
      </w:r>
      <w:r>
        <w:rPr>
          <w:rFonts w:hint="eastAsia"/>
          <w:bCs/>
        </w:rPr>
        <w:t>建筑物</w:t>
      </w:r>
      <w:r>
        <w:rPr>
          <w:bCs/>
        </w:rPr>
        <w:t>结构荷载检测鉴定不合格报告并在报告中明确不合格因素</w:t>
      </w:r>
      <w:r>
        <w:rPr>
          <w:rFonts w:hint="eastAsia"/>
          <w:bCs/>
        </w:rPr>
        <w:t>，为后续工作提供依据</w:t>
      </w:r>
      <w:r>
        <w:rPr>
          <w:rFonts w:hint="eastAsia"/>
        </w:rPr>
        <w:t>。</w:t>
      </w:r>
      <w:r>
        <w:t xml:space="preserve"> </w:t>
      </w:r>
    </w:p>
    <w:p>
      <w:pPr>
        <w:tabs>
          <w:tab w:val="left" w:pos="2412"/>
        </w:tabs>
        <w:ind w:firstLine="480"/>
        <w:jc w:val="left"/>
      </w:pPr>
      <w:r>
        <w:rPr>
          <w:rFonts w:hint="eastAsia"/>
        </w:rPr>
        <w:t>2.2 工期：自具备开工条件之日起</w:t>
      </w:r>
      <w:r>
        <w:t>1</w:t>
      </w:r>
      <w:r>
        <w:rPr>
          <w:rFonts w:hint="eastAsia"/>
        </w:rPr>
        <w:t>5日内完成。</w:t>
      </w:r>
    </w:p>
    <w:p>
      <w:pPr>
        <w:pStyle w:val="3"/>
        <w:spacing w:before="120"/>
      </w:pPr>
      <w:r>
        <w:t xml:space="preserve">3. </w:t>
      </w:r>
      <w:r>
        <w:rPr>
          <w:rFonts w:hint="eastAsia"/>
        </w:rPr>
        <w:t>供应商</w:t>
      </w:r>
      <w:r>
        <w:t>资格要求</w:t>
      </w:r>
      <w:bookmarkEnd w:id="27"/>
      <w:bookmarkEnd w:id="28"/>
    </w:p>
    <w:p>
      <w:pPr>
        <w:ind w:firstLine="480"/>
      </w:pPr>
      <w:r>
        <w:rPr>
          <w:rFonts w:hint="eastAsia"/>
        </w:rPr>
        <w:t>3.1通用条件：</w:t>
      </w:r>
    </w:p>
    <w:p>
      <w:pPr>
        <w:ind w:firstLine="480"/>
      </w:pPr>
      <w:r>
        <w:rPr>
          <w:rFonts w:hint="eastAsia"/>
        </w:rPr>
        <w:t>3.1.1供应商须为集团公司级、采购人所属的二级单位或采购人供应商库内的合格供应商，且不处于供应商暂停采购活动的期限内。</w:t>
      </w:r>
    </w:p>
    <w:p>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pPr>
        <w:ind w:firstLine="480"/>
      </w:pPr>
      <w:r>
        <w:rPr>
          <w:rFonts w:hint="eastAsia"/>
        </w:rPr>
        <w:t>3.1.2本项目不接受被人民法院纳入“失信被执行人”名单（未被移出，通过“信用中国”网站查询）和被工商行政管理机关在“国家企业信用信息公示系统”中列入严重违法失信企业名单的供应商参与本项目报价。</w:t>
      </w:r>
    </w:p>
    <w:p>
      <w:pPr>
        <w:ind w:firstLine="480"/>
      </w:pPr>
      <w:r>
        <w:rPr>
          <w:rFonts w:hint="eastAsia"/>
        </w:rPr>
        <w:t>3.1.3法定代表人为同一人或者存在控股、管理关系的不同单位，不得同时参与本项目报价，否则相关供应商的响应文件均无效。</w:t>
      </w:r>
    </w:p>
    <w:p>
      <w:pPr>
        <w:ind w:firstLine="480"/>
      </w:pPr>
      <w:r>
        <w:rPr>
          <w:rFonts w:hint="eastAsia"/>
        </w:rPr>
        <w:t>3.1.4如允许代理商参与本项目报价，只允许生产商或制造商直接授权的代理商参与，不接受存在转授权情况的代理商参与本项目报价。</w:t>
      </w:r>
    </w:p>
    <w:p>
      <w:pPr>
        <w:ind w:firstLine="480"/>
      </w:pPr>
      <w:r>
        <w:rPr>
          <w:rFonts w:hint="eastAsia"/>
        </w:rPr>
        <w:t>3.1.5不存在上传数据或响应文件的互联网协议地址（IP地址）信息检查一致的情况，否则将视为串通投标并否决其投标。</w:t>
      </w:r>
    </w:p>
    <w:p>
      <w:pPr>
        <w:ind w:firstLine="480"/>
      </w:pPr>
      <w:r>
        <w:rPr>
          <w:rFonts w:hint="eastAsia"/>
        </w:rPr>
        <w:t>3.2专项条件：</w:t>
      </w:r>
    </w:p>
    <w:p>
      <w:pPr>
        <w:ind w:firstLine="480"/>
        <w:rPr>
          <w:rFonts w:ascii="楷体" w:hAnsi="楷体" w:eastAsia="楷体"/>
          <w:sz w:val="28"/>
          <w:szCs w:val="28"/>
          <w:u w:val="single"/>
        </w:rPr>
      </w:pPr>
      <w:r>
        <w:rPr>
          <w:rFonts w:hint="eastAsia"/>
        </w:rPr>
        <w:t>3.2.1资质要求</w:t>
      </w:r>
      <w:r>
        <w:rPr>
          <w:rFonts w:hint="eastAsia"/>
          <w:b/>
        </w:rPr>
        <w:t>（必须提供资质证书扫描件）</w:t>
      </w:r>
      <w:r>
        <w:rPr>
          <w:rFonts w:hint="eastAsia"/>
        </w:rPr>
        <w:t>：</w:t>
      </w:r>
      <w:r>
        <w:rPr>
          <w:rFonts w:hint="eastAsia"/>
          <w:bCs/>
          <w:highlight w:val="yellow"/>
          <w:u w:val="single"/>
        </w:rPr>
        <w:t>具有建设行政主管部门颁发的《建设工程质量检测机构资质证书》，检测项目应包括地基基础工程检测、主体结构工程检测、钢结构工程检测</w:t>
      </w:r>
      <w:r>
        <w:rPr>
          <w:highlight w:val="yellow"/>
          <w:u w:val="single"/>
        </w:rPr>
        <w:t>。</w:t>
      </w:r>
    </w:p>
    <w:p>
      <w:pPr>
        <w:ind w:firstLine="480"/>
        <w:rPr>
          <w:sz w:val="28"/>
          <w:szCs w:val="28"/>
        </w:rPr>
      </w:pPr>
      <w:r>
        <w:t>3.</w:t>
      </w:r>
      <w:r>
        <w:rPr>
          <w:rFonts w:hint="eastAsia"/>
        </w:rPr>
        <w:t>2.2</w:t>
      </w:r>
      <w:r>
        <w:t xml:space="preserve"> 业绩</w:t>
      </w:r>
      <w:r>
        <w:rPr>
          <w:rFonts w:hint="eastAsia"/>
        </w:rPr>
        <w:t>要求</w:t>
      </w:r>
      <w:r>
        <w:rPr>
          <w:rFonts w:hint="eastAsia"/>
          <w:b/>
        </w:rPr>
        <w:t>（必须提供业绩合同扫描件，应包含合同首页、承包范围、签订时间、签字盖章页等</w:t>
      </w:r>
      <w:r>
        <w:rPr>
          <w:b/>
        </w:rPr>
        <w:t>关键页</w:t>
      </w:r>
      <w:r>
        <w:rPr>
          <w:rFonts w:hint="eastAsia"/>
          <w:b/>
        </w:rPr>
        <w:t>，否则视为无效业绩）</w:t>
      </w:r>
      <w:r>
        <w:rPr>
          <w:rFonts w:hint="eastAsia"/>
        </w:rPr>
        <w:t>：</w:t>
      </w:r>
      <w:r>
        <w:rPr>
          <w:rFonts w:ascii="楷体" w:hAnsi="楷体" w:eastAsia="楷体"/>
          <w:bCs/>
          <w:sz w:val="28"/>
          <w:szCs w:val="28"/>
          <w:u w:val="single"/>
        </w:rPr>
        <w:t>近</w:t>
      </w:r>
      <w:r>
        <w:rPr>
          <w:rFonts w:hint="eastAsia" w:ascii="楷体" w:hAnsi="楷体" w:eastAsia="楷体"/>
          <w:bCs/>
          <w:sz w:val="28"/>
          <w:szCs w:val="28"/>
          <w:u w:val="single"/>
        </w:rPr>
        <w:t>三年（自2019年1月1日至今，以合同签订时间为准）</w:t>
      </w:r>
      <w:r>
        <w:rPr>
          <w:rFonts w:ascii="楷体" w:hAnsi="楷体" w:eastAsia="楷体"/>
          <w:bCs/>
          <w:sz w:val="28"/>
          <w:szCs w:val="28"/>
          <w:u w:val="single"/>
        </w:rPr>
        <w:t>至少具有</w:t>
      </w:r>
      <w:r>
        <w:rPr>
          <w:rFonts w:hint="eastAsia" w:ascii="楷体" w:hAnsi="楷体" w:eastAsia="楷体"/>
          <w:bCs/>
          <w:sz w:val="28"/>
          <w:szCs w:val="28"/>
          <w:u w:val="single"/>
        </w:rPr>
        <w:t>2项建筑物荷载检测报告编制类似</w:t>
      </w:r>
      <w:r>
        <w:rPr>
          <w:rFonts w:ascii="楷体" w:hAnsi="楷体" w:eastAsia="楷体"/>
          <w:bCs/>
          <w:sz w:val="28"/>
          <w:szCs w:val="28"/>
          <w:u w:val="single"/>
        </w:rPr>
        <w:t>业绩</w:t>
      </w:r>
      <w:r>
        <w:rPr>
          <w:rFonts w:hint="eastAsia" w:ascii="楷体" w:hAnsi="楷体" w:eastAsia="楷体"/>
          <w:bCs/>
          <w:sz w:val="28"/>
          <w:szCs w:val="28"/>
          <w:u w:val="single"/>
        </w:rPr>
        <w:t>（提供业绩合同扫描件，应包含合同首页、承包范围、签订时间、签字盖章等</w:t>
      </w:r>
      <w:r>
        <w:rPr>
          <w:rFonts w:ascii="楷体" w:hAnsi="楷体" w:eastAsia="楷体"/>
          <w:bCs/>
          <w:sz w:val="28"/>
          <w:szCs w:val="28"/>
          <w:u w:val="single"/>
        </w:rPr>
        <w:t>关键页</w:t>
      </w:r>
      <w:r>
        <w:rPr>
          <w:rFonts w:hint="eastAsia" w:ascii="楷体" w:hAnsi="楷体" w:eastAsia="楷体"/>
          <w:bCs/>
          <w:sz w:val="28"/>
          <w:szCs w:val="28"/>
          <w:u w:val="single"/>
        </w:rPr>
        <w:t>，否则视为无效业绩）。</w:t>
      </w:r>
    </w:p>
    <w:p>
      <w:pPr>
        <w:ind w:firstLine="480"/>
      </w:pPr>
      <w:r>
        <w:t>3.</w:t>
      </w:r>
      <w:r>
        <w:rPr>
          <w:rFonts w:hint="eastAsia"/>
        </w:rPr>
        <w:t>2.3是否允许</w:t>
      </w:r>
      <w:r>
        <w:t>联合体</w:t>
      </w:r>
      <w:r>
        <w:rPr>
          <w:rFonts w:hint="eastAsia"/>
        </w:rPr>
        <w:t>：</w:t>
      </w:r>
      <w:r>
        <w:rPr>
          <w:rFonts w:hint="eastAsia" w:ascii="楷体" w:hAnsi="楷体" w:eastAsia="楷体"/>
          <w:u w:val="single"/>
        </w:rPr>
        <w:t xml:space="preserve">        否          </w:t>
      </w:r>
      <w:r>
        <w:rPr>
          <w:rFonts w:hint="eastAsia"/>
        </w:rPr>
        <w:t>（是/否）。</w:t>
      </w:r>
    </w:p>
    <w:p>
      <w:pPr>
        <w:ind w:firstLine="480"/>
      </w:pPr>
      <w:r>
        <w:rPr>
          <w:rFonts w:hint="eastAsia"/>
        </w:rPr>
        <w:t>3.2.4是否接受代理商：</w:t>
      </w:r>
      <w:r>
        <w:rPr>
          <w:rFonts w:hint="eastAsia" w:ascii="楷体" w:hAnsi="楷体" w:eastAsia="楷体"/>
          <w:u w:val="single"/>
        </w:rPr>
        <w:t xml:space="preserve">        否          </w:t>
      </w:r>
      <w:r>
        <w:rPr>
          <w:rFonts w:hint="eastAsia"/>
        </w:rPr>
        <w:t>（是/否）。</w:t>
      </w:r>
    </w:p>
    <w:p>
      <w:pPr>
        <w:ind w:firstLine="480"/>
      </w:pPr>
      <w:r>
        <w:rPr>
          <w:rFonts w:hint="eastAsia"/>
        </w:rPr>
        <w:t>3.2.5应具备的其他要求：</w:t>
      </w:r>
      <w:r>
        <w:rPr>
          <w:rFonts w:hint="eastAsia" w:ascii="楷体" w:hAnsi="楷体" w:eastAsia="楷体"/>
          <w:u w:val="single"/>
        </w:rPr>
        <w:t xml:space="preserve">        无        </w:t>
      </w:r>
      <w:r>
        <w:rPr>
          <w:rFonts w:hint="eastAsia"/>
        </w:rPr>
        <w:t>（有/无）。</w:t>
      </w:r>
    </w:p>
    <w:p>
      <w:pPr>
        <w:pStyle w:val="3"/>
        <w:spacing w:before="120"/>
      </w:pPr>
      <w:bookmarkStart w:id="29" w:name="_Toc504312945"/>
      <w:bookmarkStart w:id="30" w:name="_Toc98316825"/>
      <w:r>
        <w:rPr>
          <w:rFonts w:hint="eastAsia"/>
        </w:rPr>
        <w:t>4</w:t>
      </w:r>
      <w:r>
        <w:t xml:space="preserve">. </w:t>
      </w:r>
      <w:r>
        <w:rPr>
          <w:rFonts w:hint="eastAsia"/>
        </w:rPr>
        <w:t>采购</w:t>
      </w:r>
      <w:r>
        <w:t>文件的获取</w:t>
      </w:r>
      <w:bookmarkEnd w:id="29"/>
      <w:bookmarkEnd w:id="30"/>
    </w:p>
    <w:p>
      <w:pPr>
        <w:ind w:firstLine="480"/>
      </w:pPr>
      <w:r>
        <w:rPr>
          <w:rFonts w:hint="eastAsia" w:cs="宋体"/>
          <w:color w:val="000000"/>
          <w:kern w:val="0"/>
        </w:rPr>
        <w:t>4.</w:t>
      </w:r>
      <w:r>
        <w:t xml:space="preserve">1 </w:t>
      </w:r>
      <w:r>
        <w:rPr>
          <w:rFonts w:hint="eastAsia"/>
        </w:rPr>
        <w:t>有意向的供应商可从华能电子商务平台询价公告中报价要求显示的报价截止时间前止（北京时间，下同），登陆电子商务平台进行报名。</w:t>
      </w:r>
    </w:p>
    <w:p>
      <w:pPr>
        <w:ind w:firstLine="480"/>
      </w:pPr>
      <w:r>
        <w:rPr>
          <w:rFonts w:hint="eastAsia"/>
        </w:rPr>
        <w:t>4.2采购文件下载：通过电子商务平台下载采购文件，采购文件费：</w:t>
      </w:r>
      <w:r>
        <w:rPr>
          <w:rFonts w:hint="eastAsia"/>
          <w:u w:val="single"/>
        </w:rPr>
        <w:t xml:space="preserve">    /   </w:t>
      </w:r>
      <w:r>
        <w:rPr>
          <w:rFonts w:hint="eastAsia"/>
        </w:rPr>
        <w:t>元。</w:t>
      </w:r>
    </w:p>
    <w:p>
      <w:pPr>
        <w:pStyle w:val="3"/>
        <w:spacing w:before="120"/>
      </w:pPr>
      <w:bookmarkStart w:id="31" w:name="_Toc504312946"/>
      <w:bookmarkStart w:id="32" w:name="_Toc98316826"/>
      <w:r>
        <w:rPr>
          <w:rFonts w:hint="eastAsia"/>
        </w:rPr>
        <w:t>5</w:t>
      </w:r>
      <w:r>
        <w:t>. 响应文件的递交</w:t>
      </w:r>
      <w:bookmarkEnd w:id="31"/>
      <w:bookmarkEnd w:id="32"/>
    </w:p>
    <w:p>
      <w:pPr>
        <w:ind w:firstLine="480"/>
      </w:pPr>
      <w:r>
        <w:rPr>
          <w:rFonts w:hint="eastAsia"/>
        </w:rPr>
        <w:t>5.1供应商应按采购文件规定的递交截止时间前登陆电子商务平台，完成响应文件的传输递交，递交截止时间前未完成响应文件递交的视为放弃询价资格。</w:t>
      </w:r>
    </w:p>
    <w:p>
      <w:pPr>
        <w:ind w:firstLine="480"/>
      </w:pPr>
      <w:r>
        <w:rPr>
          <w:rFonts w:hint="eastAsia"/>
        </w:rPr>
        <w:t>5.2递交时间截止后，在电子商务平台开启响应文件。</w:t>
      </w:r>
    </w:p>
    <w:p>
      <w:pPr>
        <w:ind w:firstLine="480"/>
      </w:pPr>
      <w:r>
        <w:rPr>
          <w:rFonts w:hint="eastAsia"/>
        </w:rPr>
        <w:t>5.3响应文件的递交截止时间：详见华能电子商务平台询价公告中报价要求显示的报价截止时间。</w:t>
      </w:r>
    </w:p>
    <w:p>
      <w:pPr>
        <w:pStyle w:val="3"/>
        <w:spacing w:before="120"/>
      </w:pPr>
      <w:bookmarkStart w:id="33" w:name="_Toc98316827"/>
      <w:bookmarkStart w:id="34" w:name="_Toc504312947"/>
      <w:r>
        <w:rPr>
          <w:rFonts w:hint="eastAsia"/>
        </w:rPr>
        <w:t>6. 发布公告的媒介</w:t>
      </w:r>
      <w:bookmarkEnd w:id="33"/>
      <w:bookmarkEnd w:id="34"/>
    </w:p>
    <w:p>
      <w:pPr>
        <w:ind w:firstLine="480"/>
      </w:pPr>
      <w:r>
        <w:rPr>
          <w:rFonts w:hint="eastAsia"/>
        </w:rPr>
        <w:t>本次采购公告在电子商务平台（http://ec.chng.com.cn/）发布。因轻信其他组织、个人或媒介提供的信息而造成的损失，采购人、采购代理机构概不负责。</w:t>
      </w:r>
    </w:p>
    <w:p>
      <w:pPr>
        <w:pStyle w:val="3"/>
        <w:spacing w:before="120"/>
      </w:pPr>
      <w:bookmarkStart w:id="35" w:name="_Toc504312948"/>
      <w:bookmarkStart w:id="36" w:name="_Toc98316828"/>
      <w:r>
        <w:rPr>
          <w:rFonts w:hint="eastAsia"/>
        </w:rPr>
        <w:t>7</w:t>
      </w:r>
      <w:r>
        <w:t>. 联系方式</w:t>
      </w:r>
      <w:bookmarkEnd w:id="35"/>
      <w:bookmarkEnd w:id="36"/>
    </w:p>
    <w:tbl>
      <w:tblPr>
        <w:tblStyle w:val="29"/>
        <w:tblW w:w="8364" w:type="dxa"/>
        <w:jc w:val="center"/>
        <w:shd w:val="clear" w:color="auto" w:fill="FFFFFF"/>
        <w:tblLayout w:type="fixed"/>
        <w:tblCellMar>
          <w:top w:w="0" w:type="dxa"/>
          <w:left w:w="108" w:type="dxa"/>
          <w:bottom w:w="0" w:type="dxa"/>
          <w:right w:w="108" w:type="dxa"/>
        </w:tblCellMar>
      </w:tblPr>
      <w:tblGrid>
        <w:gridCol w:w="1334"/>
        <w:gridCol w:w="2919"/>
        <w:gridCol w:w="1418"/>
        <w:gridCol w:w="2693"/>
      </w:tblGrid>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0"/>
              <w:rPr>
                <w:sz w:val="24"/>
                <w:szCs w:val="24"/>
              </w:rPr>
            </w:pPr>
            <w:bookmarkStart w:id="37" w:name="_Toc352691456"/>
            <w:bookmarkEnd w:id="37"/>
            <w:bookmarkStart w:id="38" w:name="_Toc152042289"/>
            <w:bookmarkEnd w:id="38"/>
            <w:bookmarkStart w:id="39" w:name="_Toc247527536"/>
            <w:bookmarkEnd w:id="39"/>
            <w:bookmarkStart w:id="40" w:name="_Toc300834930"/>
            <w:bookmarkEnd w:id="40"/>
            <w:bookmarkStart w:id="41" w:name="_Toc152045513"/>
            <w:bookmarkEnd w:id="41"/>
            <w:bookmarkStart w:id="42" w:name="_Toc144974481"/>
            <w:bookmarkEnd w:id="42"/>
            <w:bookmarkStart w:id="43" w:name="_Toc369531498"/>
            <w:bookmarkEnd w:id="43"/>
            <w:bookmarkStart w:id="44" w:name="_Toc384308188"/>
            <w:bookmarkEnd w:id="44"/>
            <w:bookmarkStart w:id="45" w:name="_Toc361508563"/>
            <w:bookmarkEnd w:id="45"/>
            <w:bookmarkStart w:id="46" w:name="_Toc17972"/>
            <w:bookmarkEnd w:id="46"/>
            <w:bookmarkStart w:id="47" w:name="_Toc247513935"/>
            <w:bookmarkEnd w:id="47"/>
            <w:r>
              <w:rPr>
                <w:rFonts w:hint="eastAsia"/>
                <w:sz w:val="24"/>
                <w:szCs w:val="24"/>
              </w:rPr>
              <w:t>采 购 人：</w:t>
            </w:r>
          </w:p>
        </w:tc>
        <w:tc>
          <w:tcPr>
            <w:tcW w:w="2919" w:type="dxa"/>
            <w:shd w:val="clear" w:color="auto" w:fill="FFFFFF"/>
            <w:vAlign w:val="center"/>
          </w:tcPr>
          <w:p>
            <w:pPr>
              <w:pStyle w:val="50"/>
              <w:rPr>
                <w:sz w:val="24"/>
                <w:szCs w:val="24"/>
                <w:u w:val="single"/>
              </w:rPr>
            </w:pPr>
            <w:r>
              <w:rPr>
                <w:rFonts w:hint="eastAsia"/>
                <w:sz w:val="24"/>
                <w:szCs w:val="24"/>
                <w:u w:val="single"/>
              </w:rPr>
              <w:t>华能沁北发电有限责任公司</w:t>
            </w:r>
          </w:p>
        </w:tc>
        <w:tc>
          <w:tcPr>
            <w:tcW w:w="1418" w:type="dxa"/>
            <w:shd w:val="clear" w:color="auto" w:fill="FFFFFF"/>
            <w:vAlign w:val="center"/>
          </w:tcPr>
          <w:p>
            <w:pPr>
              <w:pStyle w:val="50"/>
              <w:rPr>
                <w:sz w:val="24"/>
                <w:szCs w:val="24"/>
              </w:rPr>
            </w:pPr>
            <w:r>
              <w:rPr>
                <w:rFonts w:hint="eastAsia"/>
                <w:sz w:val="24"/>
                <w:szCs w:val="24"/>
              </w:rPr>
              <w:t>采购代理：</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0"/>
              <w:rPr>
                <w:sz w:val="24"/>
                <w:szCs w:val="24"/>
              </w:rPr>
            </w:pPr>
            <w:r>
              <w:rPr>
                <w:rFonts w:hint="eastAsia"/>
                <w:sz w:val="24"/>
                <w:szCs w:val="24"/>
              </w:rPr>
              <w:t>地 址：</w:t>
            </w:r>
          </w:p>
        </w:tc>
        <w:tc>
          <w:tcPr>
            <w:tcW w:w="2919" w:type="dxa"/>
            <w:shd w:val="clear" w:color="auto" w:fill="FFFFFF"/>
            <w:vAlign w:val="center"/>
          </w:tcPr>
          <w:p>
            <w:pPr>
              <w:pStyle w:val="50"/>
              <w:rPr>
                <w:sz w:val="24"/>
                <w:szCs w:val="24"/>
              </w:rPr>
            </w:pPr>
            <w:r>
              <w:rPr>
                <w:rFonts w:hint="eastAsia"/>
                <w:sz w:val="24"/>
                <w:szCs w:val="24"/>
                <w:u w:val="single"/>
              </w:rPr>
              <w:t>河南省济源市五龙口镇</w:t>
            </w:r>
          </w:p>
        </w:tc>
        <w:tc>
          <w:tcPr>
            <w:tcW w:w="1418" w:type="dxa"/>
            <w:shd w:val="clear" w:color="auto" w:fill="FFFFFF"/>
            <w:vAlign w:val="center"/>
          </w:tcPr>
          <w:p>
            <w:pPr>
              <w:pStyle w:val="50"/>
              <w:rPr>
                <w:sz w:val="24"/>
                <w:szCs w:val="24"/>
              </w:rPr>
            </w:pPr>
            <w:r>
              <w:rPr>
                <w:rFonts w:hint="eastAsia"/>
                <w:sz w:val="24"/>
                <w:szCs w:val="24"/>
              </w:rPr>
              <w:t>地 址：</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0"/>
              <w:rPr>
                <w:sz w:val="24"/>
                <w:szCs w:val="24"/>
              </w:rPr>
            </w:pPr>
            <w:r>
              <w:rPr>
                <w:rFonts w:hint="eastAsia"/>
                <w:sz w:val="24"/>
                <w:szCs w:val="24"/>
              </w:rPr>
              <w:t>邮 编：</w:t>
            </w:r>
          </w:p>
        </w:tc>
        <w:tc>
          <w:tcPr>
            <w:tcW w:w="2919" w:type="dxa"/>
            <w:shd w:val="clear" w:color="auto" w:fill="FFFFFF"/>
            <w:vAlign w:val="center"/>
          </w:tcPr>
          <w:p>
            <w:pPr>
              <w:pStyle w:val="50"/>
              <w:rPr>
                <w:rFonts w:ascii="宋体" w:hAnsi="宋体"/>
                <w:sz w:val="24"/>
                <w:szCs w:val="24"/>
              </w:rPr>
            </w:pPr>
            <w:r>
              <w:rPr>
                <w:rFonts w:hint="eastAsia" w:ascii="宋体" w:hAnsi="宋体"/>
                <w:sz w:val="24"/>
                <w:szCs w:val="24"/>
                <w:u w:val="single"/>
              </w:rPr>
              <w:t>459012</w:t>
            </w:r>
          </w:p>
        </w:tc>
        <w:tc>
          <w:tcPr>
            <w:tcW w:w="1418" w:type="dxa"/>
            <w:shd w:val="clear" w:color="auto" w:fill="FFFFFF"/>
            <w:vAlign w:val="center"/>
          </w:tcPr>
          <w:p>
            <w:pPr>
              <w:pStyle w:val="50"/>
              <w:rPr>
                <w:sz w:val="24"/>
                <w:szCs w:val="24"/>
              </w:rPr>
            </w:pPr>
            <w:r>
              <w:rPr>
                <w:rFonts w:hint="eastAsia"/>
                <w:sz w:val="24"/>
                <w:szCs w:val="24"/>
              </w:rPr>
              <w:t>邮 编：</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0"/>
              <w:rPr>
                <w:sz w:val="24"/>
                <w:szCs w:val="24"/>
                <w:highlight w:val="yellow"/>
              </w:rPr>
            </w:pPr>
            <w:r>
              <w:rPr>
                <w:rFonts w:hint="eastAsia"/>
                <w:sz w:val="24"/>
                <w:szCs w:val="24"/>
                <w:highlight w:val="yellow"/>
              </w:rPr>
              <w:t>电 话：</w:t>
            </w:r>
          </w:p>
        </w:tc>
        <w:tc>
          <w:tcPr>
            <w:tcW w:w="2919" w:type="dxa"/>
            <w:shd w:val="clear" w:color="auto" w:fill="FFFFFF"/>
            <w:vAlign w:val="center"/>
          </w:tcPr>
          <w:p>
            <w:pPr>
              <w:pStyle w:val="50"/>
              <w:rPr>
                <w:sz w:val="24"/>
                <w:szCs w:val="24"/>
                <w:highlight w:val="yellow"/>
              </w:rPr>
            </w:pPr>
            <w:r>
              <w:rPr>
                <w:rFonts w:hint="eastAsia"/>
                <w:sz w:val="24"/>
                <w:szCs w:val="24"/>
                <w:highlight w:val="yellow"/>
                <w:u w:val="single"/>
              </w:rPr>
              <w:t>18239050778</w:t>
            </w:r>
            <w:r>
              <w:rPr>
                <w:rFonts w:hint="eastAsia"/>
                <w:sz w:val="24"/>
                <w:szCs w:val="24"/>
                <w:highlight w:val="yellow"/>
              </w:rPr>
              <w:t>；</w:t>
            </w:r>
          </w:p>
        </w:tc>
        <w:tc>
          <w:tcPr>
            <w:tcW w:w="1418" w:type="dxa"/>
            <w:shd w:val="clear" w:color="auto" w:fill="FFFFFF"/>
            <w:vAlign w:val="center"/>
          </w:tcPr>
          <w:p>
            <w:pPr>
              <w:pStyle w:val="50"/>
              <w:rPr>
                <w:sz w:val="24"/>
                <w:szCs w:val="24"/>
              </w:rPr>
            </w:pPr>
            <w:r>
              <w:rPr>
                <w:rFonts w:hint="eastAsia"/>
                <w:sz w:val="24"/>
                <w:szCs w:val="24"/>
              </w:rPr>
              <w:t>电 话：</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0"/>
              <w:rPr>
                <w:sz w:val="24"/>
                <w:szCs w:val="24"/>
                <w:highlight w:val="yellow"/>
              </w:rPr>
            </w:pPr>
            <w:r>
              <w:rPr>
                <w:rFonts w:hint="eastAsia"/>
                <w:sz w:val="24"/>
                <w:szCs w:val="24"/>
                <w:highlight w:val="yellow"/>
              </w:rPr>
              <w:t>电子邮箱：</w:t>
            </w:r>
          </w:p>
        </w:tc>
        <w:tc>
          <w:tcPr>
            <w:tcW w:w="2919" w:type="dxa"/>
            <w:shd w:val="clear" w:color="auto" w:fill="FFFFFF"/>
            <w:vAlign w:val="center"/>
          </w:tcPr>
          <w:p>
            <w:pPr>
              <w:pStyle w:val="50"/>
              <w:rPr>
                <w:sz w:val="24"/>
                <w:szCs w:val="24"/>
                <w:highlight w:val="yellow"/>
                <w:u w:val="single"/>
              </w:rPr>
            </w:pPr>
          </w:p>
        </w:tc>
        <w:tc>
          <w:tcPr>
            <w:tcW w:w="1418" w:type="dxa"/>
            <w:shd w:val="clear" w:color="auto" w:fill="FFFFFF"/>
            <w:vAlign w:val="center"/>
          </w:tcPr>
          <w:p>
            <w:pPr>
              <w:pStyle w:val="50"/>
              <w:rPr>
                <w:sz w:val="24"/>
                <w:szCs w:val="24"/>
              </w:rPr>
            </w:pPr>
            <w:r>
              <w:rPr>
                <w:rFonts w:hint="eastAsia"/>
                <w:sz w:val="24"/>
                <w:szCs w:val="24"/>
              </w:rPr>
              <w:t>电子邮箱：</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0"/>
              <w:rPr>
                <w:sz w:val="24"/>
                <w:szCs w:val="24"/>
                <w:highlight w:val="yellow"/>
              </w:rPr>
            </w:pPr>
            <w:r>
              <w:rPr>
                <w:rFonts w:hint="eastAsia"/>
                <w:sz w:val="24"/>
                <w:szCs w:val="24"/>
                <w:highlight w:val="yellow"/>
              </w:rPr>
              <w:t>联 系 人：</w:t>
            </w:r>
          </w:p>
        </w:tc>
        <w:tc>
          <w:tcPr>
            <w:tcW w:w="2919" w:type="dxa"/>
            <w:shd w:val="clear" w:color="auto" w:fill="FFFFFF"/>
            <w:vAlign w:val="center"/>
          </w:tcPr>
          <w:p>
            <w:pPr>
              <w:pStyle w:val="50"/>
              <w:rPr>
                <w:sz w:val="24"/>
                <w:szCs w:val="24"/>
                <w:highlight w:val="yellow"/>
              </w:rPr>
            </w:pPr>
            <w:r>
              <w:rPr>
                <w:rFonts w:hint="eastAsia"/>
                <w:sz w:val="24"/>
                <w:szCs w:val="24"/>
                <w:highlight w:val="yellow"/>
                <w:u w:val="single"/>
              </w:rPr>
              <w:t>孙先生</w:t>
            </w:r>
          </w:p>
        </w:tc>
        <w:tc>
          <w:tcPr>
            <w:tcW w:w="1418" w:type="dxa"/>
            <w:shd w:val="clear" w:color="auto" w:fill="FFFFFF"/>
            <w:vAlign w:val="center"/>
          </w:tcPr>
          <w:p>
            <w:pPr>
              <w:pStyle w:val="50"/>
              <w:rPr>
                <w:sz w:val="24"/>
                <w:szCs w:val="24"/>
              </w:rPr>
            </w:pPr>
            <w:r>
              <w:rPr>
                <w:rFonts w:hint="eastAsia"/>
                <w:sz w:val="24"/>
                <w:szCs w:val="24"/>
              </w:rPr>
              <w:t>联 系 人：</w:t>
            </w:r>
          </w:p>
        </w:tc>
        <w:tc>
          <w:tcPr>
            <w:tcW w:w="2693" w:type="dxa"/>
            <w:shd w:val="clear" w:color="auto" w:fill="FFFFFF"/>
            <w:vAlign w:val="center"/>
          </w:tcPr>
          <w:p>
            <w:pPr>
              <w:pStyle w:val="50"/>
              <w:rPr>
                <w:sz w:val="24"/>
                <w:szCs w:val="24"/>
              </w:rPr>
            </w:pPr>
            <w:r>
              <w:rPr>
                <w:rFonts w:hint="eastAsia"/>
                <w:sz w:val="24"/>
                <w:szCs w:val="24"/>
                <w:u w:val="single"/>
              </w:rPr>
              <w:t xml:space="preserve">       /               </w:t>
            </w:r>
          </w:p>
        </w:tc>
      </w:tr>
      <w:bookmarkEnd w:id="21"/>
      <w:bookmarkEnd w:id="22"/>
    </w:tbl>
    <w:p>
      <w:pPr>
        <w:pStyle w:val="25"/>
        <w:spacing w:before="120"/>
        <w:rPr>
          <w:rFonts w:ascii="Arial" w:hAnsi="宋体" w:cs="Arial"/>
          <w:szCs w:val="36"/>
        </w:rPr>
      </w:pPr>
      <w:r>
        <w:rPr>
          <w:rFonts w:ascii="宋体" w:cs="宋体"/>
          <w:b/>
          <w:bCs/>
          <w:kern w:val="0"/>
          <w:sz w:val="24"/>
          <w:szCs w:val="24"/>
        </w:rPr>
        <w:br w:type="page"/>
      </w:r>
      <w:bookmarkStart w:id="48" w:name="_Toc47415923"/>
      <w:bookmarkStart w:id="49" w:name="_Toc47416177"/>
      <w:bookmarkStart w:id="50" w:name="_Toc49019216"/>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97"/>
        <w:ind w:firstLine="720"/>
        <w:jc w:val="center"/>
        <w:rPr>
          <w:rFonts w:ascii="Arial" w:hAnsi="宋体" w:cs="Arial"/>
          <w:sz w:val="36"/>
          <w:szCs w:val="36"/>
        </w:rPr>
      </w:pPr>
    </w:p>
    <w:p>
      <w:pPr>
        <w:pStyle w:val="25"/>
        <w:spacing w:before="120"/>
      </w:pPr>
      <w:bookmarkStart w:id="51" w:name="_Toc98316829"/>
      <w:r>
        <w:rPr>
          <w:rFonts w:hint="eastAsia"/>
        </w:rPr>
        <w:t>第二章供应商须知</w:t>
      </w:r>
      <w:bookmarkEnd w:id="48"/>
      <w:bookmarkEnd w:id="49"/>
      <w:bookmarkEnd w:id="50"/>
      <w:r>
        <w:rPr>
          <w:rFonts w:hint="eastAsia"/>
        </w:rPr>
        <w:t>及前附表</w:t>
      </w:r>
      <w:bookmarkEnd w:id="51"/>
    </w:p>
    <w:p>
      <w:pPr>
        <w:ind w:firstLine="480"/>
      </w:pPr>
    </w:p>
    <w:p>
      <w:pPr>
        <w:ind w:firstLine="480"/>
      </w:pPr>
    </w:p>
    <w:p>
      <w:pPr>
        <w:pStyle w:val="3"/>
        <w:spacing w:before="120"/>
        <w:jc w:val="center"/>
      </w:pPr>
      <w:r>
        <w:br w:type="page"/>
      </w:r>
      <w:bookmarkStart w:id="52" w:name="_Toc98316830"/>
      <w:r>
        <w:rPr>
          <w:rFonts w:hint="eastAsia"/>
        </w:rPr>
        <w:t>供应商须知前附表</w:t>
      </w:r>
      <w:bookmarkEnd w:id="52"/>
    </w:p>
    <w:tbl>
      <w:tblPr>
        <w:tblStyle w:val="29"/>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条款号</w:t>
            </w:r>
          </w:p>
        </w:tc>
        <w:tc>
          <w:tcPr>
            <w:tcW w:w="1016" w:type="pct"/>
            <w:vAlign w:val="center"/>
          </w:tcPr>
          <w:p>
            <w:pPr>
              <w:pStyle w:val="50"/>
              <w:jc w:val="center"/>
            </w:pPr>
            <w:r>
              <w:rPr>
                <w:rFonts w:hint="eastAsia"/>
              </w:rPr>
              <w:t>条款名称</w:t>
            </w:r>
          </w:p>
        </w:tc>
        <w:tc>
          <w:tcPr>
            <w:tcW w:w="3580" w:type="pct"/>
            <w:vAlign w:val="center"/>
          </w:tcPr>
          <w:p>
            <w:pPr>
              <w:pStyle w:val="50"/>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2.1</w:t>
            </w:r>
          </w:p>
        </w:tc>
        <w:tc>
          <w:tcPr>
            <w:tcW w:w="1016" w:type="pct"/>
            <w:vAlign w:val="center"/>
          </w:tcPr>
          <w:p>
            <w:pPr>
              <w:pStyle w:val="50"/>
              <w:rPr>
                <w:rFonts w:cs="Arial"/>
              </w:rPr>
            </w:pPr>
            <w:r>
              <w:rPr>
                <w:rFonts w:hint="eastAsia" w:cs="Arial"/>
              </w:rPr>
              <w:t>采购人及联系方式</w:t>
            </w:r>
          </w:p>
        </w:tc>
        <w:tc>
          <w:tcPr>
            <w:tcW w:w="3580" w:type="pct"/>
            <w:vAlign w:val="center"/>
          </w:tcPr>
          <w:p>
            <w:pPr>
              <w:pStyle w:val="50"/>
              <w:rPr>
                <w:rFonts w:cs="Arial"/>
              </w:rPr>
            </w:pPr>
            <w:r>
              <w:rPr>
                <w:rFonts w:hint="eastAsia" w:cs="Arial"/>
              </w:rPr>
              <w:t>详见第一章采购公告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4.1</w:t>
            </w:r>
          </w:p>
        </w:tc>
        <w:tc>
          <w:tcPr>
            <w:tcW w:w="1016" w:type="pct"/>
            <w:vAlign w:val="center"/>
          </w:tcPr>
          <w:p>
            <w:pPr>
              <w:pStyle w:val="50"/>
              <w:rPr>
                <w:rFonts w:cs="宋体"/>
                <w:color w:val="000000"/>
              </w:rPr>
            </w:pPr>
            <w:r>
              <w:rPr>
                <w:rFonts w:hint="eastAsia" w:cs="宋体"/>
                <w:color w:val="000000"/>
              </w:rPr>
              <w:t>踏勘现场</w:t>
            </w:r>
          </w:p>
        </w:tc>
        <w:tc>
          <w:tcPr>
            <w:tcW w:w="3580" w:type="pct"/>
            <w:vAlign w:val="center"/>
          </w:tcPr>
          <w:p>
            <w:pPr>
              <w:pStyle w:val="50"/>
              <w:rPr>
                <w:rFonts w:cs="宋体"/>
                <w:color w:val="000000"/>
              </w:rPr>
            </w:pPr>
            <w:r>
              <w:rPr>
                <w:rFonts w:hint="eastAsia" w:ascii="宋体"/>
                <w:sz w:val="24"/>
                <w:szCs w:val="28"/>
              </w:rPr>
              <w:sym w:font="Wingdings" w:char="F0FE"/>
            </w:r>
            <w:r>
              <w:rPr>
                <w:rFonts w:hint="eastAsia" w:cs="宋体"/>
                <w:color w:val="000000"/>
              </w:rPr>
              <w:t>不组织</w:t>
            </w:r>
          </w:p>
          <w:p>
            <w:pPr>
              <w:pStyle w:val="50"/>
              <w:rPr>
                <w:rFonts w:cs="宋体"/>
                <w:color w:val="000000"/>
              </w:rPr>
            </w:pPr>
            <w:r>
              <w:rPr>
                <w:rFonts w:hint="eastAsia" w:cs="宋体"/>
                <w:color w:val="000000"/>
              </w:rPr>
              <w:t>□组织，踏勘时间：</w:t>
            </w:r>
            <w:r>
              <w:rPr>
                <w:rFonts w:hint="eastAsia" w:cs="宋体"/>
                <w:color w:val="000000"/>
                <w:u w:val="single"/>
              </w:rPr>
              <w:t xml:space="preserve">     /       </w:t>
            </w:r>
          </w:p>
          <w:p>
            <w:pPr>
              <w:pStyle w:val="50"/>
              <w:rPr>
                <w:rFonts w:cs="宋体"/>
                <w:color w:val="000000"/>
              </w:rPr>
            </w:pPr>
            <w:r>
              <w:rPr>
                <w:rFonts w:hint="eastAsia" w:cs="宋体"/>
                <w:color w:val="000000"/>
              </w:rPr>
              <w:t>踏勘集中地点：</w:t>
            </w:r>
            <w:r>
              <w:rPr>
                <w:rFonts w:hint="eastAsia" w:cs="宋体"/>
                <w:color w:val="000000"/>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6.1</w:t>
            </w:r>
          </w:p>
        </w:tc>
        <w:tc>
          <w:tcPr>
            <w:tcW w:w="1016" w:type="pct"/>
            <w:vAlign w:val="center"/>
          </w:tcPr>
          <w:p>
            <w:pPr>
              <w:pStyle w:val="50"/>
            </w:pPr>
            <w:r>
              <w:rPr>
                <w:rFonts w:hint="eastAsia"/>
              </w:rPr>
              <w:t>采购文件的澄清、修改、补充</w:t>
            </w:r>
          </w:p>
        </w:tc>
        <w:tc>
          <w:tcPr>
            <w:tcW w:w="3580" w:type="pct"/>
            <w:vAlign w:val="center"/>
          </w:tcPr>
          <w:p>
            <w:pPr>
              <w:pStyle w:val="50"/>
              <w:rPr>
                <w:rFonts w:ascii="宋体" w:hAnsi="宋体"/>
              </w:rPr>
            </w:pPr>
            <w:r>
              <w:rPr>
                <w:rFonts w:hint="eastAsia" w:ascii="宋体" w:hAnsi="宋体" w:cs="Arial"/>
              </w:rPr>
              <w:t>供应商需在</w:t>
            </w:r>
            <w:r>
              <w:rPr>
                <w:rFonts w:hint="eastAsia" w:ascii="宋体" w:hAnsi="宋体"/>
              </w:rPr>
              <w:t>华能电子商务平台询价公告中报价要求显示的报价截止时间24小时</w:t>
            </w:r>
            <w:r>
              <w:rPr>
                <w:rFonts w:hint="eastAsia" w:ascii="宋体" w:hAnsi="宋体" w:cs="Arial"/>
              </w:rPr>
              <w:t>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9.6</w:t>
            </w:r>
          </w:p>
        </w:tc>
        <w:tc>
          <w:tcPr>
            <w:tcW w:w="1016" w:type="pct"/>
            <w:vAlign w:val="center"/>
          </w:tcPr>
          <w:p>
            <w:pPr>
              <w:pStyle w:val="50"/>
            </w:pPr>
            <w:r>
              <w:rPr>
                <w:rFonts w:hint="eastAsia"/>
              </w:rPr>
              <w:t>最高限价</w:t>
            </w:r>
          </w:p>
        </w:tc>
        <w:tc>
          <w:tcPr>
            <w:tcW w:w="3580" w:type="pct"/>
            <w:vAlign w:val="center"/>
          </w:tcPr>
          <w:p>
            <w:pPr>
              <w:pStyle w:val="50"/>
            </w:pPr>
            <w:r>
              <w:rPr>
                <w:rFonts w:hint="eastAsia" w:ascii="宋体"/>
                <w:sz w:val="24"/>
                <w:szCs w:val="28"/>
              </w:rPr>
              <w:sym w:font="Wingdings" w:char="F0FE"/>
            </w:r>
            <w:r>
              <w:t>无</w:t>
            </w:r>
          </w:p>
          <w:p>
            <w:pPr>
              <w:pStyle w:val="50"/>
            </w:pPr>
            <w:r>
              <w:rPr>
                <w:rFonts w:hint="eastAsia"/>
              </w:rPr>
              <w:t>□</w:t>
            </w:r>
            <w:r>
              <w:t>有，最高限价：</w:t>
            </w:r>
            <w:r>
              <w:rPr>
                <w:rFonts w:hint="eastAsia"/>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9.7</w:t>
            </w:r>
          </w:p>
        </w:tc>
        <w:tc>
          <w:tcPr>
            <w:tcW w:w="1016" w:type="pct"/>
            <w:vAlign w:val="center"/>
          </w:tcPr>
          <w:p>
            <w:pPr>
              <w:pStyle w:val="50"/>
            </w:pPr>
            <w:r>
              <w:rPr>
                <w:rFonts w:cs="宋体"/>
                <w:szCs w:val="24"/>
              </w:rPr>
              <w:t>采购代理服务费</w:t>
            </w:r>
          </w:p>
        </w:tc>
        <w:tc>
          <w:tcPr>
            <w:tcW w:w="3580" w:type="pct"/>
            <w:vAlign w:val="center"/>
          </w:tcPr>
          <w:p>
            <w:pPr>
              <w:pStyle w:val="50"/>
            </w:pPr>
            <w:r>
              <w:rPr>
                <w:rFonts w:hint="eastAsia" w:ascii="宋体"/>
                <w:sz w:val="24"/>
                <w:szCs w:val="28"/>
              </w:rPr>
              <w:sym w:font="Wingdings" w:char="F0FE"/>
            </w:r>
            <w:r>
              <w:t>无</w:t>
            </w:r>
            <w:r>
              <w:br w:type="textWrapping"/>
            </w:r>
            <w:r>
              <w:rPr>
                <w:rFonts w:hint="eastAsia"/>
              </w:rPr>
              <w:t>□</w:t>
            </w:r>
            <w:r>
              <w:t xml:space="preserve">有，服务费收取标准：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10</w:t>
            </w:r>
          </w:p>
        </w:tc>
        <w:tc>
          <w:tcPr>
            <w:tcW w:w="1016" w:type="pct"/>
            <w:vAlign w:val="center"/>
          </w:tcPr>
          <w:p>
            <w:pPr>
              <w:pStyle w:val="50"/>
            </w:pPr>
            <w:r>
              <w:rPr>
                <w:rFonts w:hint="eastAsia"/>
              </w:rPr>
              <w:t>报价货币</w:t>
            </w:r>
          </w:p>
        </w:tc>
        <w:tc>
          <w:tcPr>
            <w:tcW w:w="3580" w:type="pct"/>
            <w:vAlign w:val="center"/>
          </w:tcPr>
          <w:p>
            <w:pPr>
              <w:pStyle w:val="50"/>
            </w:pPr>
            <w:r>
              <w:rPr>
                <w:rFonts w:hint="eastAsia" w:ascii="宋体"/>
                <w:sz w:val="24"/>
                <w:szCs w:val="28"/>
              </w:rPr>
              <w:sym w:font="Wingdings" w:char="F0FE"/>
            </w:r>
            <w:r>
              <w:rPr>
                <w:rFonts w:hint="eastAsia"/>
              </w:rPr>
              <w:t>人民币</w:t>
            </w:r>
          </w:p>
          <w:p>
            <w:pPr>
              <w:pStyle w:val="50"/>
            </w:pPr>
            <w:r>
              <w:rPr>
                <w:rFonts w:hint="eastAsia"/>
              </w:rPr>
              <w:t>□其他：</w:t>
            </w:r>
            <w:r>
              <w:rPr>
                <w:rFonts w:hint="eastAsia" w:cs="宋体"/>
                <w:color w:val="000000"/>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11.1</w:t>
            </w:r>
          </w:p>
        </w:tc>
        <w:tc>
          <w:tcPr>
            <w:tcW w:w="1016" w:type="pct"/>
            <w:vAlign w:val="center"/>
          </w:tcPr>
          <w:p>
            <w:pPr>
              <w:pStyle w:val="50"/>
              <w:rPr>
                <w:rFonts w:cs="Arial"/>
              </w:rPr>
            </w:pPr>
            <w:r>
              <w:rPr>
                <w:rFonts w:hint="eastAsia" w:cs="Arial"/>
              </w:rPr>
              <w:t>响应保证金</w:t>
            </w:r>
          </w:p>
        </w:tc>
        <w:tc>
          <w:tcPr>
            <w:tcW w:w="3580" w:type="pct"/>
            <w:vAlign w:val="center"/>
          </w:tcPr>
          <w:p>
            <w:pPr>
              <w:pStyle w:val="50"/>
            </w:pPr>
            <w:r>
              <w:rPr>
                <w:rFonts w:hint="eastAsia" w:ascii="宋体"/>
                <w:sz w:val="24"/>
                <w:szCs w:val="28"/>
              </w:rPr>
              <w:sym w:font="Wingdings" w:char="F0FE"/>
            </w:r>
            <w:r>
              <w:rPr>
                <w:rFonts w:hint="eastAsia"/>
              </w:rPr>
              <w:t>无</w:t>
            </w:r>
          </w:p>
          <w:p>
            <w:pPr>
              <w:pStyle w:val="50"/>
            </w:pPr>
            <w:r>
              <w:rPr>
                <w:rFonts w:hint="eastAsia"/>
              </w:rPr>
              <w:t>□有</w:t>
            </w:r>
            <w:r>
              <w:rPr>
                <w:rFonts w:cs="宋体"/>
                <w:color w:val="000000"/>
              </w:rPr>
              <w:t>，</w:t>
            </w:r>
            <w:r>
              <w:rPr>
                <w:rFonts w:hint="eastAsia" w:cs="宋体"/>
                <w:color w:val="000000"/>
              </w:rPr>
              <w:t>按照以下</w:t>
            </w:r>
            <w:r>
              <w:rPr>
                <w:rFonts w:cs="宋体"/>
                <w:color w:val="000000"/>
              </w:rPr>
              <w:t>方式：</w:t>
            </w:r>
            <w:r>
              <w:rPr>
                <w:rFonts w:hint="eastAsia" w:cs="宋体"/>
                <w:color w:val="000000"/>
                <w:u w:val="single"/>
              </w:rPr>
              <w:t>/</w:t>
            </w:r>
          </w:p>
          <w:p>
            <w:pPr>
              <w:pStyle w:val="50"/>
              <w:rPr>
                <w:rFonts w:cs="宋体"/>
                <w:color w:val="000000"/>
                <w:u w:val="single"/>
              </w:rPr>
            </w:pPr>
            <w:r>
              <w:rPr>
                <w:rFonts w:hint="eastAsia" w:cs="宋体"/>
                <w:color w:val="000000"/>
              </w:rPr>
              <w:t>响应保证金的金额：</w:t>
            </w:r>
            <w:r>
              <w:rPr>
                <w:rFonts w:hint="eastAsia" w:cs="宋体"/>
                <w:color w:val="000000"/>
                <w:u w:val="single"/>
              </w:rPr>
              <w:t>/</w:t>
            </w:r>
          </w:p>
          <w:p>
            <w:pPr>
              <w:pStyle w:val="50"/>
              <w:rPr>
                <w:rFonts w:cs="宋体"/>
                <w:color w:val="000000"/>
                <w:u w:val="single"/>
              </w:rPr>
            </w:pPr>
            <w:r>
              <w:rPr>
                <w:rFonts w:hint="eastAsia" w:cs="宋体"/>
                <w:color w:val="000000"/>
              </w:rPr>
              <w:t>响应保证金的形式：</w:t>
            </w:r>
            <w:r>
              <w:rPr>
                <w:rFonts w:hint="eastAsia" w:cs="宋体"/>
                <w:color w:val="000000"/>
                <w:u w:val="single"/>
              </w:rPr>
              <w:t>/</w:t>
            </w:r>
          </w:p>
          <w:p>
            <w:pPr>
              <w:pStyle w:val="50"/>
              <w:rPr>
                <w:rFonts w:cs="宋体"/>
                <w:color w:val="000000"/>
              </w:rPr>
            </w:pPr>
            <w:r>
              <w:rPr>
                <w:rFonts w:hint="eastAsia" w:cs="宋体"/>
                <w:color w:val="000000"/>
              </w:rPr>
              <w:t>响应保证金的递交截止时间为：</w:t>
            </w:r>
            <w:r>
              <w:rPr>
                <w:rFonts w:hint="eastAsia" w:cs="宋体"/>
                <w:color w:val="000000"/>
                <w:u w:val="single"/>
              </w:rPr>
              <w:t>__/__</w:t>
            </w:r>
            <w:r>
              <w:rPr>
                <w:rFonts w:hint="eastAsia" w:cs="宋体"/>
                <w:color w:val="000000"/>
              </w:rPr>
              <w:t>之前</w:t>
            </w:r>
          </w:p>
          <w:p>
            <w:pPr>
              <w:pStyle w:val="50"/>
              <w:rPr>
                <w:rFonts w:cs="宋体"/>
                <w:color w:val="000000"/>
              </w:rPr>
            </w:pPr>
            <w:r>
              <w:rPr>
                <w:rFonts w:hint="eastAsia" w:cs="宋体"/>
                <w:color w:val="000000"/>
              </w:rPr>
              <w:t>开户银行及账号如下：</w:t>
            </w:r>
          </w:p>
          <w:p>
            <w:pPr>
              <w:pStyle w:val="50"/>
              <w:rPr>
                <w:rFonts w:cs="宋体"/>
                <w:color w:val="000000"/>
                <w:u w:val="single"/>
              </w:rPr>
            </w:pPr>
            <w:r>
              <w:rPr>
                <w:rFonts w:hint="eastAsia" w:cs="宋体"/>
                <w:color w:val="000000"/>
              </w:rPr>
              <w:t>账户名称：</w:t>
            </w:r>
            <w:r>
              <w:rPr>
                <w:rFonts w:hint="eastAsia" w:cs="宋体"/>
                <w:color w:val="000000"/>
                <w:u w:val="single"/>
              </w:rPr>
              <w:t xml:space="preserve">         /           </w:t>
            </w:r>
          </w:p>
          <w:p>
            <w:pPr>
              <w:pStyle w:val="50"/>
              <w:rPr>
                <w:rFonts w:cs="宋体"/>
                <w:color w:val="000000"/>
                <w:u w:val="single"/>
              </w:rPr>
            </w:pPr>
            <w:r>
              <w:rPr>
                <w:rFonts w:hint="eastAsia" w:cs="宋体"/>
                <w:color w:val="000000"/>
              </w:rPr>
              <w:t>开户银行：</w:t>
            </w:r>
            <w:r>
              <w:rPr>
                <w:rFonts w:hint="eastAsia" w:cs="宋体"/>
                <w:color w:val="000000"/>
                <w:u w:val="single"/>
              </w:rPr>
              <w:t xml:space="preserve">         /           </w:t>
            </w:r>
          </w:p>
          <w:p>
            <w:pPr>
              <w:pStyle w:val="50"/>
            </w:pPr>
            <w:r>
              <w:rPr>
                <w:rFonts w:hint="eastAsia" w:cs="宋体"/>
                <w:color w:val="000000"/>
              </w:rPr>
              <w:t>账  号：</w:t>
            </w:r>
            <w:r>
              <w:rPr>
                <w:rFonts w:hint="eastAsia" w:cs="宋体"/>
                <w:color w:val="000000"/>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12.1</w:t>
            </w:r>
          </w:p>
        </w:tc>
        <w:tc>
          <w:tcPr>
            <w:tcW w:w="1016" w:type="pct"/>
            <w:vAlign w:val="center"/>
          </w:tcPr>
          <w:p>
            <w:pPr>
              <w:pStyle w:val="50"/>
            </w:pPr>
            <w:r>
              <w:rPr>
                <w:rFonts w:hint="eastAsia"/>
              </w:rPr>
              <w:t>采购有效期</w:t>
            </w:r>
          </w:p>
        </w:tc>
        <w:tc>
          <w:tcPr>
            <w:tcW w:w="3580" w:type="pct"/>
            <w:vAlign w:val="center"/>
          </w:tcPr>
          <w:p>
            <w:pPr>
              <w:pStyle w:val="50"/>
            </w:pPr>
            <w:r>
              <w:rPr>
                <w:rFonts w:hint="eastAsia"/>
              </w:rPr>
              <w:t>自响应文件递交截止时间起</w:t>
            </w:r>
            <w:r>
              <w:rPr>
                <w:rFonts w:hint="eastAsia" w:ascii="宋体" w:hAnsi="宋体"/>
                <w:u w:val="single"/>
              </w:rPr>
              <w:t>120</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13</w:t>
            </w:r>
          </w:p>
        </w:tc>
        <w:tc>
          <w:tcPr>
            <w:tcW w:w="1016" w:type="pct"/>
            <w:vAlign w:val="center"/>
          </w:tcPr>
          <w:p>
            <w:pPr>
              <w:pStyle w:val="50"/>
            </w:pPr>
            <w:r>
              <w:rPr>
                <w:rFonts w:hint="eastAsia"/>
              </w:rPr>
              <w:t>响应文件递交截止时间及地点</w:t>
            </w:r>
          </w:p>
        </w:tc>
        <w:tc>
          <w:tcPr>
            <w:tcW w:w="3580" w:type="pct"/>
            <w:vAlign w:val="center"/>
          </w:tcPr>
          <w:p>
            <w:pPr>
              <w:pStyle w:val="50"/>
            </w:pPr>
            <w:r>
              <w:rPr>
                <w:rFonts w:hint="eastAsia"/>
              </w:rPr>
              <w:t>响应文件递交截止时间：华能电子商务平台询价公告中报价要求显示的报价截止时间，在华能电子商务平台上传响应文件。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16.1</w:t>
            </w:r>
          </w:p>
        </w:tc>
        <w:tc>
          <w:tcPr>
            <w:tcW w:w="1016" w:type="pct"/>
            <w:vAlign w:val="center"/>
          </w:tcPr>
          <w:p>
            <w:pPr>
              <w:pStyle w:val="50"/>
            </w:pPr>
            <w:r>
              <w:rPr>
                <w:rFonts w:hint="eastAsia"/>
              </w:rPr>
              <w:t>开启响应文件的开始时间及地点</w:t>
            </w:r>
          </w:p>
        </w:tc>
        <w:tc>
          <w:tcPr>
            <w:tcW w:w="3580" w:type="pct"/>
            <w:vAlign w:val="center"/>
          </w:tcPr>
          <w:p>
            <w:pPr>
              <w:pStyle w:val="50"/>
            </w:pPr>
            <w:r>
              <w:rPr>
                <w:rFonts w:hint="eastAsia"/>
              </w:rPr>
              <w:t>开启响应文件开始时间：</w:t>
            </w:r>
            <w:r>
              <w:rPr>
                <w:rFonts w:hint="eastAsia"/>
                <w:u w:val="single"/>
              </w:rPr>
              <w:t>同响应文件递交截止时间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16.2</w:t>
            </w:r>
          </w:p>
        </w:tc>
        <w:tc>
          <w:tcPr>
            <w:tcW w:w="1016" w:type="pct"/>
            <w:vAlign w:val="center"/>
          </w:tcPr>
          <w:p>
            <w:pPr>
              <w:pStyle w:val="50"/>
            </w:pPr>
            <w:r>
              <w:rPr>
                <w:rFonts w:hint="eastAsia"/>
              </w:rPr>
              <w:t>谈判时间及地点</w:t>
            </w:r>
          </w:p>
        </w:tc>
        <w:tc>
          <w:tcPr>
            <w:tcW w:w="3580" w:type="pct"/>
            <w:vAlign w:val="center"/>
          </w:tcPr>
          <w:p>
            <w:pPr>
              <w:pStyle w:val="50"/>
            </w:pPr>
            <w:r>
              <w:rPr>
                <w:rFonts w:hint="eastAsia"/>
              </w:rPr>
              <w:t>谈判开始时间</w:t>
            </w:r>
            <w:r>
              <w:rPr>
                <w:rFonts w:hint="eastAsia"/>
                <w:u w:val="single"/>
              </w:rPr>
              <w:t>__ / __</w:t>
            </w:r>
          </w:p>
          <w:p>
            <w:pPr>
              <w:pStyle w:val="50"/>
            </w:pPr>
            <w:r>
              <w:rPr>
                <w:rFonts w:hint="eastAsia"/>
              </w:rPr>
              <w:t>谈判地点：</w:t>
            </w:r>
            <w:r>
              <w:rPr>
                <w:rFonts w:hint="eastAsia" w:cs="宋体"/>
                <w:color w:val="000000"/>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21.3</w:t>
            </w:r>
          </w:p>
        </w:tc>
        <w:tc>
          <w:tcPr>
            <w:tcW w:w="1016" w:type="pct"/>
            <w:vAlign w:val="center"/>
          </w:tcPr>
          <w:p>
            <w:pPr>
              <w:pStyle w:val="50"/>
            </w:pPr>
            <w:r>
              <w:rPr>
                <w:rFonts w:hint="eastAsia"/>
              </w:rPr>
              <w:t>履约担保</w:t>
            </w:r>
          </w:p>
        </w:tc>
        <w:tc>
          <w:tcPr>
            <w:tcW w:w="3580" w:type="pct"/>
            <w:vAlign w:val="center"/>
          </w:tcPr>
          <w:p>
            <w:pPr>
              <w:pStyle w:val="50"/>
              <w:rPr>
                <w:rFonts w:cs="宋体"/>
              </w:rPr>
            </w:pPr>
            <w:r>
              <w:rPr>
                <w:rFonts w:hint="eastAsia" w:ascii="宋体"/>
                <w:sz w:val="24"/>
                <w:szCs w:val="28"/>
              </w:rPr>
              <w:sym w:font="Wingdings" w:char="F0FE"/>
            </w:r>
            <w:r>
              <w:rPr>
                <w:rFonts w:hint="eastAsia" w:cs="宋体"/>
              </w:rPr>
              <w:t>不提供</w:t>
            </w:r>
          </w:p>
          <w:p>
            <w:pPr>
              <w:pStyle w:val="50"/>
              <w:rPr>
                <w:rFonts w:cs="宋体"/>
              </w:rPr>
            </w:pPr>
            <w:r>
              <w:rPr>
                <w:rFonts w:hint="eastAsia"/>
              </w:rPr>
              <w:t>□</w:t>
            </w:r>
            <w:r>
              <w:rPr>
                <w:rFonts w:hint="eastAsia" w:cs="宋体"/>
              </w:rPr>
              <w:t>提供，履约担保金额：</w:t>
            </w:r>
          </w:p>
          <w:p>
            <w:pPr>
              <w:pStyle w:val="50"/>
              <w:ind w:firstLine="880" w:firstLineChars="400"/>
            </w:pPr>
            <w:r>
              <w:rPr>
                <w:rFonts w:hint="eastAsia" w:cs="宋体"/>
              </w:rPr>
              <w:t>履约担保形式：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50"/>
              <w:jc w:val="center"/>
            </w:pPr>
            <w:r>
              <w:rPr>
                <w:rFonts w:hint="eastAsia"/>
              </w:rPr>
              <w:t>22</w:t>
            </w:r>
          </w:p>
        </w:tc>
        <w:tc>
          <w:tcPr>
            <w:tcW w:w="1016" w:type="pct"/>
            <w:vAlign w:val="center"/>
          </w:tcPr>
          <w:p>
            <w:pPr>
              <w:pStyle w:val="50"/>
            </w:pPr>
            <w:r>
              <w:rPr>
                <w:rFonts w:hint="eastAsia"/>
              </w:rPr>
              <w:t>其他需要补充的内容</w:t>
            </w:r>
          </w:p>
        </w:tc>
        <w:tc>
          <w:tcPr>
            <w:tcW w:w="3580" w:type="pct"/>
            <w:vAlign w:val="center"/>
          </w:tcPr>
          <w:p>
            <w:pPr>
              <w:pStyle w:val="50"/>
            </w:pPr>
            <w:r>
              <w:rPr>
                <w:rFonts w:hint="eastAsia"/>
              </w:rPr>
              <w:t>无</w:t>
            </w:r>
          </w:p>
        </w:tc>
      </w:tr>
    </w:tbl>
    <w:p>
      <w:pPr>
        <w:ind w:firstLine="480"/>
      </w:pPr>
      <w:r>
        <w:rPr>
          <w:rFonts w:hint="eastAsia"/>
          <w:kern w:val="0"/>
        </w:rPr>
        <w:t>备注：供应商须知前附表是对</w:t>
      </w:r>
      <w:r>
        <w:rPr>
          <w:rFonts w:hint="eastAsia"/>
        </w:rPr>
        <w:t>供应商须知的具体补充和修改，如有矛盾，应以本表为准。</w:t>
      </w:r>
    </w:p>
    <w:p>
      <w:pPr>
        <w:ind w:firstLine="480"/>
      </w:pPr>
    </w:p>
    <w:p>
      <w:pPr>
        <w:ind w:firstLine="0" w:firstLineChars="0"/>
      </w:pPr>
    </w:p>
    <w:p>
      <w:pPr>
        <w:pStyle w:val="3"/>
        <w:spacing w:before="120"/>
      </w:pPr>
      <w:bookmarkStart w:id="53" w:name="_Toc98316831"/>
      <w:r>
        <w:rPr>
          <w:rFonts w:hint="eastAsia"/>
        </w:rPr>
        <w:t>1.适用范围</w:t>
      </w:r>
      <w:bookmarkEnd w:id="53"/>
    </w:p>
    <w:p>
      <w:pPr>
        <w:ind w:firstLine="480"/>
      </w:pPr>
      <w:r>
        <w:rPr>
          <w:rFonts w:hint="eastAsia"/>
        </w:rPr>
        <w:t>本采购文件仅适用于本项目公告/邀请函中所述项目。</w:t>
      </w:r>
    </w:p>
    <w:p>
      <w:pPr>
        <w:pStyle w:val="3"/>
        <w:spacing w:before="120"/>
      </w:pPr>
      <w:bookmarkStart w:id="54" w:name="_Toc98316832"/>
      <w:r>
        <w:rPr>
          <w:rFonts w:hint="eastAsia"/>
        </w:rPr>
        <w:t>2.定义</w:t>
      </w:r>
      <w:bookmarkEnd w:id="54"/>
    </w:p>
    <w:p>
      <w:pPr>
        <w:ind w:firstLine="480"/>
      </w:pPr>
      <w:r>
        <w:rPr>
          <w:rFonts w:hint="eastAsia"/>
        </w:rPr>
        <w:t>2.1采购人：指依法提出采购项目进行采购的法人或其他组织，采购人及联系方式见前附表。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2.3成交人：指最终被授予合同的供应商。</w:t>
      </w:r>
    </w:p>
    <w:p>
      <w:pPr>
        <w:pStyle w:val="3"/>
        <w:spacing w:before="120"/>
      </w:pPr>
      <w:bookmarkStart w:id="55" w:name="_Toc98316833"/>
      <w:r>
        <w:rPr>
          <w:rFonts w:hint="eastAsia"/>
        </w:rPr>
        <w:t>3.询价费用</w:t>
      </w:r>
      <w:bookmarkEnd w:id="55"/>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3"/>
        <w:spacing w:before="120"/>
      </w:pPr>
      <w:bookmarkStart w:id="56" w:name="_Toc98316834"/>
      <w:r>
        <w:rPr>
          <w:rFonts w:hint="eastAsia"/>
        </w:rPr>
        <w:t>4. 现场踏勘</w:t>
      </w:r>
      <w:bookmarkEnd w:id="56"/>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3"/>
        <w:spacing w:before="120"/>
      </w:pPr>
      <w:bookmarkStart w:id="57" w:name="_Toc98316835"/>
      <w:r>
        <w:rPr>
          <w:rFonts w:hint="eastAsia"/>
        </w:rPr>
        <w:t>5.采购文件的构成</w:t>
      </w:r>
      <w:bookmarkEnd w:id="57"/>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采购公告/采购邀请函</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3"/>
        <w:spacing w:before="120"/>
      </w:pPr>
      <w:bookmarkStart w:id="58" w:name="_Toc98316836"/>
      <w:r>
        <w:rPr>
          <w:rFonts w:hint="eastAsia"/>
        </w:rPr>
        <w:t>6. 采购文件的澄清、修改、补充</w:t>
      </w:r>
      <w:bookmarkEnd w:id="58"/>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3"/>
        <w:spacing w:before="120"/>
      </w:pPr>
      <w:bookmarkStart w:id="59" w:name="_Toc98316837"/>
      <w:r>
        <w:rPr>
          <w:rFonts w:hint="eastAsia"/>
        </w:rPr>
        <w:t>7.编制基本要求</w:t>
      </w:r>
      <w:bookmarkEnd w:id="59"/>
    </w:p>
    <w:p>
      <w:pPr>
        <w:ind w:firstLine="480"/>
      </w:pPr>
      <w:r>
        <w:rPr>
          <w:rFonts w:hint="eastAsia"/>
        </w:rPr>
        <w:t>7.1供应商应在认真阅读，充分理解本采购文件所有内容（包括所有的澄清、修改、补充内容）的基础上，按照“第六章响应文件格式”的要求编制完整的响应文件。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3"/>
        <w:spacing w:before="120"/>
      </w:pPr>
      <w:bookmarkStart w:id="60" w:name="_Toc98316838"/>
      <w:r>
        <w:rPr>
          <w:rFonts w:hint="eastAsia"/>
        </w:rPr>
        <w:t>8.语言和计量单位</w:t>
      </w:r>
      <w:bookmarkEnd w:id="60"/>
    </w:p>
    <w:p>
      <w:pPr>
        <w:ind w:firstLine="480"/>
      </w:pPr>
      <w:r>
        <w:rPr>
          <w:rFonts w:hint="eastAsia"/>
        </w:rPr>
        <w:t>8.1</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8.2除非采购文件中另有规定，计量单位均采用中华人民共和国法定的计量单位。</w:t>
      </w:r>
    </w:p>
    <w:p>
      <w:pPr>
        <w:pStyle w:val="3"/>
        <w:spacing w:before="120"/>
      </w:pPr>
      <w:bookmarkStart w:id="61" w:name="_Toc98316839"/>
      <w:r>
        <w:rPr>
          <w:rFonts w:hint="eastAsia"/>
        </w:rPr>
        <w:t>9. 报价</w:t>
      </w:r>
      <w:bookmarkEnd w:id="61"/>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3"/>
        <w:spacing w:before="120"/>
      </w:pPr>
      <w:bookmarkStart w:id="62" w:name="_Toc98316840"/>
      <w:r>
        <w:rPr>
          <w:rFonts w:hint="eastAsia"/>
        </w:rPr>
        <w:t>10.报价货币</w:t>
      </w:r>
      <w:bookmarkEnd w:id="62"/>
    </w:p>
    <w:p>
      <w:pPr>
        <w:ind w:firstLine="480"/>
      </w:pPr>
      <w:r>
        <w:rPr>
          <w:rFonts w:hint="eastAsia"/>
        </w:rPr>
        <w:t>采用人民币报价，供应商须知前附表有明确规定的除外。</w:t>
      </w:r>
    </w:p>
    <w:p>
      <w:pPr>
        <w:pStyle w:val="3"/>
        <w:spacing w:before="120"/>
      </w:pPr>
      <w:bookmarkStart w:id="63" w:name="_Toc98316841"/>
      <w:r>
        <w:rPr>
          <w:rFonts w:hint="eastAsia"/>
        </w:rPr>
        <w:t>11.响应保证金</w:t>
      </w:r>
      <w:bookmarkEnd w:id="63"/>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11.4响应保证金的退还</w:t>
      </w:r>
    </w:p>
    <w:p>
      <w:pPr>
        <w:ind w:firstLine="480"/>
      </w:pPr>
      <w:r>
        <w:rPr>
          <w:rFonts w:hint="eastAsia"/>
        </w:rPr>
        <w:t>成交人与采购人签订合同后5日内，采购人/采购代理单位向成交人退还扣除代理服务费后的剩余保证金，同时退还未成交供应商响应保证金。</w:t>
      </w:r>
    </w:p>
    <w:p>
      <w:pPr>
        <w:pStyle w:val="3"/>
        <w:spacing w:before="120"/>
      </w:pPr>
      <w:bookmarkStart w:id="64" w:name="_Toc98316842"/>
      <w:r>
        <w:rPr>
          <w:rFonts w:hint="eastAsia"/>
        </w:rPr>
        <w:t>12.采购有效期</w:t>
      </w:r>
      <w:bookmarkEnd w:id="64"/>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3"/>
        <w:spacing w:before="120"/>
      </w:pPr>
      <w:bookmarkStart w:id="65" w:name="_Toc98316843"/>
      <w:r>
        <w:rPr>
          <w:rFonts w:hint="eastAsia"/>
        </w:rPr>
        <w:t>13.响应文件递交截止时间及地点</w:t>
      </w:r>
      <w:bookmarkEnd w:id="65"/>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3"/>
        <w:spacing w:before="120"/>
      </w:pPr>
      <w:bookmarkStart w:id="66" w:name="_Toc98316844"/>
      <w:r>
        <w:rPr>
          <w:rFonts w:hint="eastAsia"/>
        </w:rPr>
        <w:t>14.响应文件的修改和撤销</w:t>
      </w:r>
      <w:bookmarkEnd w:id="66"/>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rFonts w:hint="eastAsia"/>
        </w:rPr>
        <w:t>供应商不得在采购有效期内撤销响应文件</w:t>
      </w:r>
      <w:r>
        <w:rPr>
          <w:rFonts w:hint="eastAsia"/>
          <w:kern w:val="0"/>
        </w:rPr>
        <w:t>。</w:t>
      </w:r>
    </w:p>
    <w:p>
      <w:pPr>
        <w:pStyle w:val="3"/>
        <w:spacing w:before="120"/>
      </w:pPr>
      <w:bookmarkStart w:id="67" w:name="_Toc98316845"/>
      <w:r>
        <w:rPr>
          <w:rFonts w:hint="eastAsia"/>
        </w:rPr>
        <w:t>15. 询价小组</w:t>
      </w:r>
      <w:bookmarkEnd w:id="67"/>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3"/>
        <w:spacing w:before="120"/>
      </w:pPr>
      <w:bookmarkStart w:id="68" w:name="_Toc98316846"/>
      <w:r>
        <w:rPr>
          <w:rFonts w:hint="eastAsia"/>
        </w:rPr>
        <w:t>16.开启响应文件</w:t>
      </w:r>
      <w:bookmarkEnd w:id="68"/>
    </w:p>
    <w:p>
      <w:pPr>
        <w:ind w:firstLine="480"/>
      </w:pPr>
      <w:r>
        <w:rPr>
          <w:rFonts w:hint="eastAsia"/>
        </w:rPr>
        <w:t>16.1 在供应商须知前附表规定的时间开启响应文件。</w:t>
      </w:r>
    </w:p>
    <w:p>
      <w:pPr>
        <w:ind w:firstLine="480"/>
      </w:pPr>
      <w:r>
        <w:rPr>
          <w:rFonts w:hint="eastAsia"/>
        </w:rPr>
        <w:t>16.2供应商须根据供应商须知前附表规定的谈判时间及地点参加谈判。</w:t>
      </w:r>
    </w:p>
    <w:p>
      <w:pPr>
        <w:pStyle w:val="3"/>
        <w:spacing w:before="120"/>
      </w:pPr>
      <w:bookmarkStart w:id="69" w:name="_Toc98316847"/>
      <w:r>
        <w:rPr>
          <w:rFonts w:hint="eastAsia"/>
        </w:rPr>
        <w:t>17.评审方法</w:t>
      </w:r>
      <w:bookmarkEnd w:id="69"/>
    </w:p>
    <w:p>
      <w:pPr>
        <w:ind w:firstLine="480"/>
      </w:pPr>
      <w:r>
        <w:rPr>
          <w:rFonts w:hint="eastAsia"/>
        </w:rPr>
        <w:t>评审将严格按照采购文件第三章规定的评审标准和办法及国家有关法律、法规的要求进行。</w:t>
      </w:r>
    </w:p>
    <w:p>
      <w:pPr>
        <w:pStyle w:val="3"/>
        <w:spacing w:before="120"/>
      </w:pPr>
      <w:bookmarkStart w:id="70" w:name="_Toc98316848"/>
      <w:r>
        <w:rPr>
          <w:rFonts w:hint="eastAsia"/>
        </w:rPr>
        <w:t>18.确定成交供应商</w:t>
      </w:r>
      <w:bookmarkEnd w:id="70"/>
    </w:p>
    <w:p>
      <w:pPr>
        <w:ind w:firstLine="480"/>
      </w:pPr>
      <w:r>
        <w:rPr>
          <w:rFonts w:hint="eastAsia"/>
        </w:rPr>
        <w:t>采购人按询价小组推荐的成交供应商名单确定成交供应商。</w:t>
      </w:r>
    </w:p>
    <w:p>
      <w:pPr>
        <w:pStyle w:val="3"/>
        <w:spacing w:before="120"/>
      </w:pPr>
      <w:bookmarkStart w:id="71" w:name="_Toc98316849"/>
      <w:r>
        <w:rPr>
          <w:rFonts w:hint="eastAsia"/>
        </w:rPr>
        <w:t>19.采购结果公告</w:t>
      </w:r>
      <w:bookmarkEnd w:id="71"/>
    </w:p>
    <w:p>
      <w:pPr>
        <w:ind w:firstLine="480"/>
      </w:pPr>
      <w:r>
        <w:rPr>
          <w:rFonts w:hint="eastAsia"/>
        </w:rPr>
        <w:t>采购人确定成交供应商，询价采购结果在电子商务平台进行公告。</w:t>
      </w:r>
    </w:p>
    <w:p>
      <w:pPr>
        <w:pStyle w:val="3"/>
        <w:spacing w:before="120"/>
      </w:pPr>
      <w:bookmarkStart w:id="72" w:name="_Toc98316850"/>
      <w:r>
        <w:rPr>
          <w:rFonts w:hint="eastAsia"/>
        </w:rPr>
        <w:t>20. 成交通知</w:t>
      </w:r>
      <w:bookmarkEnd w:id="72"/>
    </w:p>
    <w:p>
      <w:pPr>
        <w:ind w:firstLine="480"/>
      </w:pPr>
      <w:r>
        <w:rPr>
          <w:rFonts w:hint="eastAsia"/>
        </w:rPr>
        <w:t>20.1 采购人向成交人发出《成交通知书》，同时通知所有未成交的供应商。</w:t>
      </w:r>
    </w:p>
    <w:p>
      <w:pPr>
        <w:ind w:firstLine="480"/>
      </w:pPr>
      <w:r>
        <w:rPr>
          <w:rFonts w:hint="eastAsia"/>
        </w:rPr>
        <w:t xml:space="preserve">20.2 《成交通知书》将构成合同的组成部分。                </w:t>
      </w:r>
    </w:p>
    <w:p>
      <w:pPr>
        <w:pStyle w:val="3"/>
        <w:spacing w:before="120"/>
      </w:pPr>
      <w:bookmarkStart w:id="73" w:name="_Toc98316851"/>
      <w:r>
        <w:rPr>
          <w:rFonts w:hint="eastAsia"/>
        </w:rPr>
        <w:t>21. 签订合同</w:t>
      </w:r>
      <w:bookmarkEnd w:id="73"/>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3"/>
        <w:spacing w:before="120"/>
      </w:pPr>
      <w:bookmarkStart w:id="74" w:name="_Toc98316852"/>
      <w:r>
        <w:rPr>
          <w:rFonts w:hint="eastAsia"/>
        </w:rPr>
        <w:t>22. 其他需要补充的内容</w:t>
      </w:r>
      <w:bookmarkEnd w:id="74"/>
    </w:p>
    <w:p>
      <w:pPr>
        <w:ind w:firstLine="480"/>
      </w:pPr>
      <w:r>
        <w:rPr>
          <w:rFonts w:hint="eastAsia"/>
        </w:rPr>
        <w:t>无</w:t>
      </w:r>
    </w:p>
    <w:p>
      <w:pPr>
        <w:ind w:firstLine="480"/>
      </w:pPr>
    </w:p>
    <w:p>
      <w:pPr>
        <w:ind w:firstLine="480"/>
        <w:rPr>
          <w:rFonts w:ascii="宋体" w:hAnsi="宋体" w:cs="Arial"/>
          <w:kern w:val="0"/>
          <w:szCs w:val="24"/>
        </w:rPr>
      </w:pPr>
      <w:bookmarkStart w:id="75" w:name="_Toc527445394"/>
    </w:p>
    <w:p>
      <w:pPr>
        <w:pStyle w:val="25"/>
        <w:spacing w:before="120"/>
      </w:pPr>
      <w:bookmarkStart w:id="76" w:name="_Toc98316853"/>
      <w:r>
        <w:rPr>
          <w:rFonts w:hint="eastAsia"/>
        </w:rPr>
        <w:t>第三章 评审办法</w:t>
      </w:r>
      <w:bookmarkEnd w:id="75"/>
      <w:bookmarkEnd w:id="76"/>
    </w:p>
    <w:p>
      <w:pPr>
        <w:pStyle w:val="3"/>
        <w:spacing w:before="120"/>
      </w:pPr>
      <w:bookmarkStart w:id="77" w:name="_Toc98316854"/>
      <w:r>
        <w:rPr>
          <w:rFonts w:hint="eastAsia"/>
        </w:rPr>
        <w:t>一、总则</w:t>
      </w:r>
      <w:bookmarkEnd w:id="77"/>
    </w:p>
    <w:p>
      <w:pPr>
        <w:ind w:firstLine="480"/>
      </w:pPr>
      <w:r>
        <w:rPr>
          <w:rFonts w:hint="eastAsia"/>
        </w:rPr>
        <w:t>1.评审依据</w:t>
      </w:r>
    </w:p>
    <w:p>
      <w:pPr>
        <w:ind w:firstLine="480"/>
      </w:pPr>
      <w:r>
        <w:rPr>
          <w:rFonts w:hint="eastAsia"/>
        </w:rPr>
        <w:t>1.1</w:t>
      </w:r>
      <w:r>
        <w:rPr>
          <w:rFonts w:hint="eastAsia"/>
          <w:kern w:val="0"/>
        </w:rPr>
        <w:t>《中国华能集团有限公司非招标采购管理办法》</w:t>
      </w:r>
      <w:r>
        <w:rPr>
          <w:rFonts w:hint="eastAsia"/>
        </w:rPr>
        <w:t>及相关法律法规；</w:t>
      </w:r>
    </w:p>
    <w:p>
      <w:pPr>
        <w:ind w:firstLine="480"/>
      </w:pPr>
      <w:r>
        <w:rPr>
          <w:rFonts w:hint="eastAsia"/>
        </w:rPr>
        <w:t>1.2采购文件及其有效的补充文件。</w:t>
      </w:r>
    </w:p>
    <w:p>
      <w:pPr>
        <w:ind w:firstLine="480"/>
      </w:pPr>
      <w:r>
        <w:rPr>
          <w:rFonts w:hint="eastAsia"/>
        </w:rPr>
        <w:t>2.评审原则</w:t>
      </w:r>
    </w:p>
    <w:p>
      <w:pPr>
        <w:ind w:firstLine="480"/>
      </w:pPr>
      <w:r>
        <w:rPr>
          <w:rFonts w:hint="eastAsia"/>
        </w:rPr>
        <w:t>评审活动遵循“公平、公正、科学、择优”的原则。</w:t>
      </w:r>
    </w:p>
    <w:p>
      <w:pPr>
        <w:pStyle w:val="3"/>
        <w:spacing w:before="120"/>
      </w:pPr>
      <w:bookmarkStart w:id="78" w:name="_Toc98316855"/>
      <w:r>
        <w:rPr>
          <w:rFonts w:hint="eastAsia"/>
        </w:rPr>
        <w:t>二、评审方法</w:t>
      </w:r>
      <w:bookmarkEnd w:id="78"/>
    </w:p>
    <w:p>
      <w:pPr>
        <w:ind w:firstLine="480"/>
      </w:pPr>
      <w:r>
        <w:rPr>
          <w:rFonts w:hint="eastAsia"/>
        </w:rPr>
        <w:t>本项目采用经评审的最低价法。</w:t>
      </w:r>
    </w:p>
    <w:p>
      <w:pPr>
        <w:pStyle w:val="3"/>
        <w:spacing w:before="120"/>
      </w:pPr>
      <w:bookmarkStart w:id="79" w:name="_Toc98316856"/>
      <w:bookmarkStart w:id="80" w:name="_Toc47415931"/>
      <w:bookmarkStart w:id="81" w:name="_Toc47416185"/>
      <w:bookmarkStart w:id="82" w:name="_Toc49019224"/>
      <w:r>
        <w:rPr>
          <w:rFonts w:hint="eastAsia"/>
        </w:rPr>
        <w:t>三、评审程序</w:t>
      </w:r>
      <w:bookmarkEnd w:id="79"/>
    </w:p>
    <w:p>
      <w:pPr>
        <w:ind w:firstLine="480"/>
      </w:pPr>
      <w:r>
        <w:rPr>
          <w:rFonts w:hint="eastAsia"/>
        </w:rPr>
        <w:t>询价小组评审包括初步评审和详细评审两部分。</w:t>
      </w:r>
    </w:p>
    <w:p>
      <w:pPr>
        <w:ind w:firstLine="480"/>
      </w:pPr>
      <w:r>
        <w:rPr>
          <w:rFonts w:hint="eastAsia"/>
        </w:rPr>
        <w:t>1.初步评审</w:t>
      </w:r>
    </w:p>
    <w:p>
      <w:pPr>
        <w:ind w:firstLine="480"/>
      </w:pPr>
      <w:r>
        <w:rPr>
          <w:rFonts w:hint="eastAsia"/>
        </w:rPr>
        <w:t>询价小组对响应文件进行初步评审，评审内容如下：</w:t>
      </w:r>
    </w:p>
    <w:p>
      <w:pPr>
        <w:ind w:firstLine="480"/>
      </w:pPr>
      <w:r>
        <w:rPr>
          <w:rFonts w:hint="eastAsia"/>
        </w:rPr>
        <w:t>1</w:t>
      </w:r>
      <w:r>
        <w:t xml:space="preserve">.1 </w:t>
      </w:r>
      <w:r>
        <w:rPr>
          <w:rFonts w:hint="eastAsia"/>
        </w:rPr>
        <w:t xml:space="preserve">供应商资格条件不满足采购文件要求； </w:t>
      </w:r>
    </w:p>
    <w:p>
      <w:pPr>
        <w:ind w:firstLine="480"/>
      </w:pPr>
      <w:r>
        <w:rPr>
          <w:rFonts w:hint="eastAsia"/>
        </w:rPr>
        <w:t>1</w:t>
      </w:r>
      <w:r>
        <w:t xml:space="preserve">.2 </w:t>
      </w:r>
      <w:r>
        <w:rPr>
          <w:rFonts w:hint="eastAsia"/>
        </w:rPr>
        <w:t xml:space="preserve">供应商未按采购文件要求提交响应保证金或金额不足（如有）； </w:t>
      </w:r>
    </w:p>
    <w:p>
      <w:pPr>
        <w:ind w:firstLine="480"/>
      </w:pPr>
      <w:r>
        <w:rPr>
          <w:rFonts w:hint="eastAsia"/>
        </w:rPr>
        <w:t>1</w:t>
      </w:r>
      <w:r>
        <w:t xml:space="preserve">.3 </w:t>
      </w:r>
      <w:r>
        <w:rPr>
          <w:rFonts w:hint="eastAsia"/>
        </w:rPr>
        <w:t>响应文件附有采购人不能接受的条件；</w:t>
      </w:r>
    </w:p>
    <w:p>
      <w:pPr>
        <w:ind w:firstLine="480"/>
      </w:pPr>
      <w:r>
        <w:rPr>
          <w:rFonts w:hint="eastAsia"/>
        </w:rPr>
        <w:t>1</w:t>
      </w:r>
      <w:r>
        <w:t xml:space="preserve">.4 </w:t>
      </w:r>
      <w:r>
        <w:rPr>
          <w:rFonts w:hint="eastAsia"/>
        </w:rPr>
        <w:t>供应商报价超出最高限价（如有）；</w:t>
      </w:r>
    </w:p>
    <w:p>
      <w:pPr>
        <w:ind w:firstLine="480"/>
      </w:pPr>
      <w:r>
        <w:rPr>
          <w:rFonts w:hint="eastAsia"/>
        </w:rPr>
        <w:t>1</w:t>
      </w:r>
      <w:r>
        <w:t xml:space="preserve">.5 </w:t>
      </w:r>
      <w:r>
        <w:rPr>
          <w:rFonts w:hint="eastAsia"/>
        </w:rPr>
        <w:t>国家相关法规规定的其它否决条款。</w:t>
      </w:r>
    </w:p>
    <w:p>
      <w:pPr>
        <w:ind w:firstLine="480"/>
      </w:pPr>
      <w:r>
        <w:rPr>
          <w:rFonts w:hint="eastAsia"/>
        </w:rPr>
        <w:t>如发生上述条款中的任何一项，初步审查将视为不合格，供应商只有通过初步评审，才能进入详细评审。</w:t>
      </w:r>
    </w:p>
    <w:p>
      <w:pPr>
        <w:ind w:firstLine="480"/>
      </w:pPr>
      <w:r>
        <w:rPr>
          <w:rFonts w:hint="eastAsia"/>
        </w:rPr>
        <w:t>2.详细评审：详细评审包括商务、技术和价格评审。</w:t>
      </w:r>
    </w:p>
    <w:p>
      <w:pPr>
        <w:ind w:firstLine="480"/>
      </w:pPr>
      <w:r>
        <w:rPr>
          <w:rFonts w:hint="eastAsia"/>
        </w:rPr>
        <w:t>2.1商务评审，是否实质上响应了采购文件的要求，主要包括资格条件、交货时间、付款条件等。</w:t>
      </w:r>
    </w:p>
    <w:p>
      <w:pPr>
        <w:ind w:firstLine="480"/>
      </w:pPr>
      <w:r>
        <w:rPr>
          <w:rFonts w:hint="eastAsia"/>
        </w:rPr>
        <w:t>2.2技术评审，是否实质上响应了采购文件的要求；主要包括采购需求是否符合要求。</w:t>
      </w:r>
    </w:p>
    <w:p>
      <w:pPr>
        <w:ind w:firstLine="480"/>
      </w:pPr>
      <w:r>
        <w:rPr>
          <w:rFonts w:hint="eastAsia"/>
        </w:rPr>
        <w:t>2.3报价评审，询价小组对供应商的报价文件进行比较。询价小组不得同某一供应商就其报价进行谈判。</w:t>
      </w:r>
    </w:p>
    <w:p>
      <w:pPr>
        <w:ind w:firstLine="480"/>
      </w:pPr>
      <w:r>
        <w:rPr>
          <w:rFonts w:hint="eastAsia"/>
        </w:rPr>
        <w:t>如详细评审阶段，商务和技术评审中有一项不通过，将视为否决供应商投标。不再进入后续评审。</w:t>
      </w:r>
    </w:p>
    <w:p>
      <w:pPr>
        <w:ind w:firstLine="480"/>
      </w:pPr>
      <w:r>
        <w:t xml:space="preserve">3. </w:t>
      </w:r>
      <w:r>
        <w:rPr>
          <w:rFonts w:hint="eastAsia"/>
        </w:rPr>
        <w:t>评审</w:t>
      </w:r>
      <w:r>
        <w:t>报告</w:t>
      </w:r>
    </w:p>
    <w:p>
      <w:pPr>
        <w:ind w:firstLine="480"/>
        <w:rPr>
          <w:rFonts w:ascii="宋体" w:hAnsi="宋体"/>
          <w:szCs w:val="24"/>
        </w:rPr>
      </w:pPr>
      <w:r>
        <w:rPr>
          <w:rFonts w:ascii="宋体" w:hAnsi="宋体"/>
          <w:szCs w:val="24"/>
        </w:rPr>
        <w:t>3</w:t>
      </w:r>
      <w:r>
        <w:rPr>
          <w:rFonts w:hint="eastAsia" w:ascii="宋体" w:hAnsi="宋体"/>
          <w:szCs w:val="24"/>
        </w:rPr>
        <w:t>.1在评审各阶段的结论，如评委有不同意见，按少数服从多数的原则得出最终评审结论。</w:t>
      </w:r>
    </w:p>
    <w:p>
      <w:pPr>
        <w:ind w:firstLine="480"/>
      </w:pPr>
      <w:r>
        <w:rPr>
          <w:rFonts w:ascii="宋体" w:hAnsi="宋体"/>
          <w:szCs w:val="24"/>
        </w:rPr>
        <w:t>3</w:t>
      </w:r>
      <w:r>
        <w:rPr>
          <w:rFonts w:hint="eastAsia" w:ascii="宋体" w:hAnsi="宋体"/>
          <w:szCs w:val="24"/>
        </w:rPr>
        <w:t>.2询价小组</w:t>
      </w:r>
      <w:r>
        <w:rPr>
          <w:rFonts w:ascii="宋体" w:hAnsi="宋体"/>
          <w:szCs w:val="24"/>
        </w:rPr>
        <w:t>完成</w:t>
      </w:r>
      <w:r>
        <w:rPr>
          <w:rFonts w:hint="eastAsia" w:ascii="宋体" w:hAnsi="宋体"/>
          <w:szCs w:val="24"/>
        </w:rPr>
        <w:t>评审</w:t>
      </w:r>
      <w:r>
        <w:rPr>
          <w:rFonts w:ascii="宋体" w:hAnsi="宋体"/>
          <w:szCs w:val="24"/>
        </w:rPr>
        <w:t>工作后，向</w:t>
      </w:r>
      <w:r>
        <w:rPr>
          <w:rFonts w:hint="eastAsia" w:ascii="宋体" w:hAnsi="宋体"/>
          <w:szCs w:val="24"/>
        </w:rPr>
        <w:t>采购人</w:t>
      </w:r>
      <w:r>
        <w:rPr>
          <w:rFonts w:ascii="宋体" w:hAnsi="宋体"/>
          <w:szCs w:val="24"/>
        </w:rPr>
        <w:t>提出书面</w:t>
      </w:r>
      <w:r>
        <w:rPr>
          <w:rFonts w:hint="eastAsia" w:ascii="宋体" w:hAnsi="宋体"/>
          <w:szCs w:val="24"/>
        </w:rPr>
        <w:t>评审</w:t>
      </w:r>
      <w:r>
        <w:rPr>
          <w:rFonts w:ascii="宋体" w:hAnsi="宋体"/>
          <w:szCs w:val="24"/>
        </w:rPr>
        <w:t>报告。如果</w:t>
      </w:r>
      <w:r>
        <w:rPr>
          <w:rFonts w:hint="eastAsia" w:ascii="宋体" w:hAnsi="宋体"/>
          <w:szCs w:val="24"/>
        </w:rPr>
        <w:t>询价小组</w:t>
      </w:r>
      <w:r>
        <w:rPr>
          <w:rFonts w:ascii="宋体" w:hAnsi="宋体"/>
          <w:szCs w:val="24"/>
        </w:rPr>
        <w:t>成员对</w:t>
      </w:r>
      <w:r>
        <w:rPr>
          <w:rFonts w:hint="eastAsia" w:ascii="宋体" w:hAnsi="宋体"/>
          <w:szCs w:val="24"/>
        </w:rPr>
        <w:t>评审</w:t>
      </w:r>
      <w:r>
        <w:rPr>
          <w:rFonts w:ascii="宋体" w:hAnsi="宋体"/>
          <w:szCs w:val="24"/>
        </w:rPr>
        <w:t>报告有异议，可以书面方式阐述其不同意见和理由。</w:t>
      </w:r>
      <w:r>
        <w:rPr>
          <w:rFonts w:hint="eastAsia" w:ascii="宋体" w:hAnsi="宋体"/>
          <w:szCs w:val="24"/>
        </w:rPr>
        <w:t>询价小组</w:t>
      </w:r>
      <w:r>
        <w:rPr>
          <w:rFonts w:ascii="宋体" w:hAnsi="宋体"/>
          <w:szCs w:val="24"/>
        </w:rPr>
        <w:t>成员拒绝在</w:t>
      </w:r>
      <w:r>
        <w:rPr>
          <w:rFonts w:hint="eastAsia" w:ascii="宋体" w:hAnsi="宋体"/>
          <w:szCs w:val="24"/>
        </w:rPr>
        <w:t>评审</w:t>
      </w:r>
      <w:r>
        <w:rPr>
          <w:rFonts w:ascii="宋体" w:hAnsi="宋体"/>
          <w:szCs w:val="24"/>
        </w:rPr>
        <w:t>报告上签字且不陈述其不同意见和理由的，视为同意</w:t>
      </w:r>
      <w:r>
        <w:rPr>
          <w:rFonts w:hint="eastAsia" w:ascii="宋体" w:hAnsi="宋体"/>
          <w:szCs w:val="24"/>
        </w:rPr>
        <w:t>评审</w:t>
      </w:r>
      <w:r>
        <w:rPr>
          <w:rFonts w:ascii="宋体" w:hAnsi="宋体"/>
          <w:szCs w:val="24"/>
        </w:rPr>
        <w:t>报告，评标委员会应当对此做出书面说明，并记录在案。</w:t>
      </w:r>
    </w:p>
    <w:p>
      <w:pPr>
        <w:pStyle w:val="3"/>
        <w:spacing w:before="120"/>
      </w:pPr>
      <w:bookmarkStart w:id="83" w:name="_Toc98316857"/>
      <w:r>
        <w:rPr>
          <w:rFonts w:hint="eastAsia"/>
        </w:rPr>
        <w:t>四、推荐成交供应商</w:t>
      </w:r>
      <w:bookmarkEnd w:id="83"/>
    </w:p>
    <w:p>
      <w:pPr>
        <w:ind w:firstLine="480"/>
      </w:pPr>
      <w:r>
        <w:rPr>
          <w:rFonts w:hint="eastAsia"/>
        </w:rPr>
        <w:t>询价小组对经评审的响应文件按质量和服务满足采购文件要求且报价最低的原则，推荐中标供应商。若经评审的响应文件报价相同，按供应商业绩个数从多到少排序；若业绩仍相同或无业绩要求，按供应商注册资本金从多到少排序；若注册资本金仍相同，</w:t>
      </w:r>
      <w:r>
        <w:rPr>
          <w:rFonts w:hint="eastAsia" w:ascii="宋体" w:hAnsi="宋体"/>
          <w:color w:val="000000"/>
          <w:szCs w:val="24"/>
        </w:rPr>
        <w:t>由</w:t>
      </w:r>
      <w:r>
        <w:rPr>
          <w:rFonts w:hint="eastAsia"/>
        </w:rPr>
        <w:t>询价小组</w:t>
      </w:r>
      <w:r>
        <w:rPr>
          <w:rFonts w:hint="eastAsia" w:ascii="宋体" w:hAnsi="宋体"/>
          <w:color w:val="000000"/>
          <w:szCs w:val="24"/>
        </w:rPr>
        <w:t>投票决定</w:t>
      </w:r>
      <w:r>
        <w:rPr>
          <w:rFonts w:ascii="宋体" w:hAnsi="宋体"/>
          <w:color w:val="000000"/>
          <w:szCs w:val="24"/>
        </w:rPr>
        <w:t>。</w:t>
      </w:r>
    </w:p>
    <w:p>
      <w:pPr>
        <w:ind w:firstLine="480"/>
      </w:pPr>
    </w:p>
    <w:bookmarkEnd w:id="80"/>
    <w:bookmarkEnd w:id="81"/>
    <w:bookmarkEnd w:id="82"/>
    <w:p>
      <w:pPr>
        <w:ind w:firstLine="640"/>
        <w:rPr>
          <w:rFonts w:ascii="宋体" w:hAnsi="宋体"/>
          <w:sz w:val="32"/>
          <w:szCs w:val="32"/>
        </w:rPr>
      </w:pPr>
      <w:bookmarkStart w:id="84" w:name="_Toc525134808"/>
    </w:p>
    <w:p>
      <w:pPr>
        <w:ind w:firstLine="640"/>
        <w:rPr>
          <w:rFonts w:ascii="宋体" w:hAnsi="宋体"/>
          <w:sz w:val="32"/>
          <w:szCs w:val="32"/>
        </w:rPr>
      </w:pPr>
    </w:p>
    <w:p>
      <w:pPr>
        <w:ind w:firstLine="640"/>
        <w:rPr>
          <w:rFonts w:ascii="宋体" w:hAnsi="宋体"/>
          <w:sz w:val="32"/>
          <w:szCs w:val="32"/>
        </w:rPr>
      </w:pPr>
    </w:p>
    <w:p>
      <w:pPr>
        <w:ind w:firstLine="640"/>
        <w:rPr>
          <w:rFonts w:ascii="宋体" w:hAnsi="宋体"/>
          <w:sz w:val="32"/>
          <w:szCs w:val="32"/>
        </w:rPr>
      </w:pPr>
    </w:p>
    <w:p>
      <w:pPr>
        <w:ind w:firstLine="0" w:firstLineChars="0"/>
        <w:rPr>
          <w:rFonts w:ascii="宋体" w:hAnsi="宋体"/>
          <w:sz w:val="32"/>
          <w:szCs w:val="32"/>
        </w:rPr>
      </w:pPr>
      <w:r>
        <w:rPr>
          <w:rFonts w:ascii="宋体" w:hAnsi="宋体"/>
          <w:sz w:val="32"/>
          <w:szCs w:val="32"/>
        </w:rPr>
        <w:br w:type="page"/>
      </w: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ind w:firstLine="0" w:firstLineChars="0"/>
        <w:rPr>
          <w:rFonts w:ascii="宋体" w:hAnsi="宋体"/>
          <w:sz w:val="32"/>
          <w:szCs w:val="32"/>
        </w:rPr>
      </w:pPr>
    </w:p>
    <w:p>
      <w:pPr>
        <w:pStyle w:val="25"/>
        <w:spacing w:before="120"/>
      </w:pPr>
      <w:bookmarkStart w:id="85" w:name="_Toc98316858"/>
      <w:r>
        <w:rPr>
          <w:rFonts w:hint="eastAsia"/>
        </w:rPr>
        <w:t>第四章 合同</w:t>
      </w:r>
      <w:bookmarkEnd w:id="84"/>
      <w:r>
        <w:rPr>
          <w:rFonts w:hint="eastAsia"/>
        </w:rPr>
        <w:t>条款及格式</w:t>
      </w:r>
      <w:bookmarkEnd w:id="85"/>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ind w:firstLine="0" w:firstLineChars="0"/>
        <w:rPr>
          <w:rFonts w:ascii="宋体" w:hAnsi="宋体"/>
          <w:szCs w:val="24"/>
        </w:rPr>
      </w:pPr>
    </w:p>
    <w:p>
      <w:pPr>
        <w:widowControl/>
        <w:ind w:firstLine="560"/>
        <w:jc w:val="left"/>
        <w:rPr>
          <w:rFonts w:ascii="宋体" w:hAnsi="宋体"/>
          <w:sz w:val="28"/>
          <w:szCs w:val="28"/>
        </w:rPr>
      </w:pPr>
      <w:bookmarkStart w:id="86" w:name="_Toc16003275"/>
    </w:p>
    <w:p>
      <w:pPr>
        <w:widowControl/>
        <w:ind w:firstLine="560"/>
        <w:jc w:val="left"/>
        <w:rPr>
          <w:rFonts w:ascii="宋体" w:hAnsi="宋体"/>
          <w:sz w:val="28"/>
          <w:szCs w:val="28"/>
        </w:rPr>
      </w:pPr>
    </w:p>
    <w:p>
      <w:pPr>
        <w:wordWrap w:val="0"/>
        <w:spacing w:line="480" w:lineRule="atLeast"/>
        <w:ind w:right="560" w:firstLine="560"/>
        <w:rPr>
          <w:rFonts w:eastAsia="黑体"/>
          <w:sz w:val="28"/>
        </w:rPr>
      </w:pPr>
      <w:r>
        <w:rPr>
          <w:rFonts w:hint="eastAsia" w:ascii="宋体" w:hAnsi="宋体"/>
          <w:sz w:val="28"/>
          <w:szCs w:val="28"/>
        </w:rPr>
        <w:drawing>
          <wp:anchor distT="0" distB="0" distL="114300" distR="114300" simplePos="0" relativeHeight="251660288" behindDoc="0" locked="0" layoutInCell="1" allowOverlap="1">
            <wp:simplePos x="0" y="0"/>
            <wp:positionH relativeFrom="column">
              <wp:posOffset>19685</wp:posOffset>
            </wp:positionH>
            <wp:positionV relativeFrom="paragraph">
              <wp:posOffset>164465</wp:posOffset>
            </wp:positionV>
            <wp:extent cx="1940560" cy="498475"/>
            <wp:effectExtent l="19050" t="0" r="2540" b="0"/>
            <wp:wrapSquare wrapText="bothSides"/>
            <wp:docPr id="5" name="Picture 6"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descr="未标题-1副本"/>
                    <pic:cNvPicPr>
                      <a:picLocks noChangeAspect="1" noChangeArrowheads="1"/>
                    </pic:cNvPicPr>
                  </pic:nvPicPr>
                  <pic:blipFill>
                    <a:blip r:embed="rId12" cstate="print"/>
                    <a:srcRect/>
                    <a:stretch>
                      <a:fillRect/>
                    </a:stretch>
                  </pic:blipFill>
                  <pic:spPr>
                    <a:xfrm>
                      <a:off x="0" y="0"/>
                      <a:ext cx="1940560" cy="498475"/>
                    </a:xfrm>
                    <a:prstGeom prst="rect">
                      <a:avLst/>
                    </a:prstGeom>
                    <a:noFill/>
                    <a:ln w="9525">
                      <a:noFill/>
                      <a:miter lim="800000"/>
                      <a:headEnd/>
                      <a:tailEnd/>
                    </a:ln>
                  </pic:spPr>
                </pic:pic>
              </a:graphicData>
            </a:graphic>
          </wp:anchor>
        </w:drawing>
      </w:r>
    </w:p>
    <w:p>
      <w:pPr>
        <w:wordWrap w:val="0"/>
        <w:spacing w:line="480" w:lineRule="atLeast"/>
        <w:ind w:right="560" w:firstLine="560"/>
        <w:rPr>
          <w:rFonts w:eastAsia="黑体"/>
          <w:sz w:val="28"/>
        </w:rPr>
      </w:pPr>
    </w:p>
    <w:p>
      <w:pPr>
        <w:wordWrap w:val="0"/>
        <w:spacing w:line="480" w:lineRule="atLeast"/>
        <w:ind w:right="560" w:firstLine="5040" w:firstLineChars="1800"/>
        <w:rPr>
          <w:rFonts w:eastAsia="黑体"/>
          <w:sz w:val="28"/>
        </w:rPr>
      </w:pPr>
    </w:p>
    <w:p>
      <w:pPr>
        <w:wordWrap w:val="0"/>
        <w:spacing w:line="480" w:lineRule="atLeast"/>
        <w:ind w:right="560" w:firstLine="5040" w:firstLineChars="1800"/>
        <w:rPr>
          <w:rFonts w:eastAsia="黑体"/>
          <w:sz w:val="28"/>
        </w:rPr>
      </w:pPr>
      <w:r>
        <w:rPr>
          <w:rFonts w:eastAsia="黑体"/>
          <w:sz w:val="28"/>
        </w:rPr>
        <w:t>合同编号：</w:t>
      </w:r>
    </w:p>
    <w:p>
      <w:pPr>
        <w:spacing w:line="480" w:lineRule="atLeast"/>
        <w:ind w:right="840" w:firstLine="560"/>
        <w:jc w:val="right"/>
        <w:rPr>
          <w:rFonts w:eastAsia="黑体"/>
          <w:sz w:val="28"/>
        </w:rPr>
      </w:pPr>
    </w:p>
    <w:p>
      <w:pPr>
        <w:spacing w:line="480" w:lineRule="atLeast"/>
        <w:ind w:firstLine="1040"/>
        <w:jc w:val="center"/>
        <w:rPr>
          <w:rFonts w:eastAsia="黑体"/>
          <w:sz w:val="52"/>
        </w:rPr>
      </w:pPr>
    </w:p>
    <w:p>
      <w:pPr>
        <w:widowControl/>
        <w:spacing w:line="360" w:lineRule="auto"/>
        <w:ind w:firstLine="0" w:firstLineChars="0"/>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bCs/>
          <w:sz w:val="44"/>
          <w:szCs w:val="44"/>
        </w:rPr>
        <w:t>沁北电厂2022年第三季度分布式光伏发电项目建筑物结构荷载检测鉴定服务</w:t>
      </w:r>
      <w:r>
        <w:rPr>
          <w:rFonts w:hint="eastAsia" w:ascii="方正小标宋简体" w:hAnsi="方正小标宋简体" w:eastAsia="方正小标宋简体" w:cs="方正小标宋简体"/>
          <w:b/>
          <w:sz w:val="44"/>
          <w:szCs w:val="44"/>
        </w:rPr>
        <w:t>合同</w:t>
      </w:r>
    </w:p>
    <w:p>
      <w:pPr>
        <w:pStyle w:val="28"/>
        <w:ind w:left="480" w:firstLine="480"/>
      </w:pPr>
    </w:p>
    <w:p>
      <w:pPr>
        <w:spacing w:line="480" w:lineRule="atLeast"/>
        <w:ind w:firstLine="1044"/>
        <w:jc w:val="center"/>
        <w:rPr>
          <w:b/>
          <w:sz w:val="52"/>
          <w:szCs w:val="52"/>
        </w:rPr>
      </w:pPr>
    </w:p>
    <w:p>
      <w:pPr>
        <w:spacing w:line="480" w:lineRule="atLeast"/>
        <w:ind w:firstLine="1440"/>
        <w:jc w:val="center"/>
        <w:rPr>
          <w:sz w:val="72"/>
        </w:rPr>
      </w:pPr>
    </w:p>
    <w:p>
      <w:pPr>
        <w:spacing w:line="480" w:lineRule="atLeast"/>
        <w:ind w:firstLine="1440"/>
        <w:jc w:val="center"/>
        <w:rPr>
          <w:sz w:val="72"/>
        </w:rPr>
      </w:pPr>
    </w:p>
    <w:p>
      <w:pPr>
        <w:spacing w:line="480" w:lineRule="atLeast"/>
        <w:ind w:firstLine="1440"/>
        <w:jc w:val="center"/>
        <w:rPr>
          <w:sz w:val="72"/>
        </w:rPr>
      </w:pPr>
    </w:p>
    <w:p>
      <w:pPr>
        <w:spacing w:line="360" w:lineRule="auto"/>
        <w:ind w:firstLine="640"/>
        <w:rPr>
          <w:rFonts w:eastAsia="黑体"/>
          <w:sz w:val="32"/>
        </w:rPr>
      </w:pPr>
    </w:p>
    <w:p>
      <w:pPr>
        <w:widowControl/>
        <w:spacing w:line="360" w:lineRule="auto"/>
        <w:ind w:firstLine="561"/>
        <w:jc w:val="left"/>
        <w:rPr>
          <w:rFonts w:ascii="华文中宋" w:hAnsi="华文中宋" w:eastAsia="华文中宋"/>
          <w:b/>
          <w:kern w:val="0"/>
          <w:sz w:val="28"/>
          <w:szCs w:val="28"/>
        </w:rPr>
      </w:pPr>
      <w:r>
        <w:rPr>
          <w:rFonts w:hint="eastAsia" w:ascii="华文中宋" w:hAnsi="华文中宋" w:eastAsia="华文中宋"/>
          <w:b/>
          <w:kern w:val="0"/>
          <w:sz w:val="28"/>
          <w:szCs w:val="28"/>
        </w:rPr>
        <w:t>委 托 人（甲方）：</w:t>
      </w:r>
      <w:r>
        <w:rPr>
          <w:rFonts w:hint="eastAsia" w:ascii="华文中宋" w:hAnsi="华文中宋" w:eastAsia="华文中宋"/>
          <w:bCs/>
          <w:kern w:val="0"/>
          <w:sz w:val="28"/>
          <w:szCs w:val="28"/>
        </w:rPr>
        <w:t>华能沁北发电有限责任公司</w:t>
      </w:r>
    </w:p>
    <w:p>
      <w:pPr>
        <w:widowControl/>
        <w:spacing w:line="360" w:lineRule="auto"/>
        <w:ind w:firstLine="561"/>
        <w:jc w:val="left"/>
        <w:rPr>
          <w:rFonts w:ascii="华文中宋" w:hAnsi="华文中宋" w:eastAsia="华文中宋"/>
          <w:b/>
          <w:kern w:val="0"/>
          <w:sz w:val="28"/>
          <w:szCs w:val="28"/>
        </w:rPr>
      </w:pPr>
      <w:r>
        <w:rPr>
          <w:rFonts w:ascii="华文中宋" w:hAnsi="华文中宋" w:eastAsia="华文中宋"/>
          <w:b/>
          <w:kern w:val="0"/>
          <w:sz w:val="28"/>
          <w:szCs w:val="28"/>
        </w:rPr>
        <w:t>受</w:t>
      </w:r>
      <w:r>
        <w:rPr>
          <w:rFonts w:hint="eastAsia" w:ascii="华文中宋" w:hAnsi="华文中宋" w:eastAsia="华文中宋"/>
          <w:b/>
          <w:kern w:val="0"/>
          <w:sz w:val="28"/>
          <w:szCs w:val="28"/>
        </w:rPr>
        <w:t xml:space="preserve"> </w:t>
      </w:r>
      <w:r>
        <w:rPr>
          <w:rFonts w:ascii="华文中宋" w:hAnsi="华文中宋" w:eastAsia="华文中宋"/>
          <w:b/>
          <w:kern w:val="0"/>
          <w:sz w:val="28"/>
          <w:szCs w:val="28"/>
        </w:rPr>
        <w:t>托</w:t>
      </w:r>
      <w:r>
        <w:rPr>
          <w:rFonts w:hint="eastAsia" w:ascii="华文中宋" w:hAnsi="华文中宋" w:eastAsia="华文中宋"/>
          <w:b/>
          <w:kern w:val="0"/>
          <w:sz w:val="28"/>
          <w:szCs w:val="28"/>
        </w:rPr>
        <w:t xml:space="preserve"> </w:t>
      </w:r>
      <w:r>
        <w:rPr>
          <w:rFonts w:ascii="华文中宋" w:hAnsi="华文中宋" w:eastAsia="华文中宋"/>
          <w:b/>
          <w:kern w:val="0"/>
          <w:sz w:val="28"/>
          <w:szCs w:val="28"/>
        </w:rPr>
        <w:t>人</w:t>
      </w:r>
      <w:r>
        <w:rPr>
          <w:rFonts w:hint="eastAsia" w:ascii="华文中宋" w:hAnsi="华文中宋" w:eastAsia="华文中宋"/>
          <w:b/>
          <w:kern w:val="0"/>
          <w:sz w:val="28"/>
          <w:szCs w:val="28"/>
        </w:rPr>
        <w:t>（乙方）：</w:t>
      </w:r>
    </w:p>
    <w:p>
      <w:pPr>
        <w:widowControl/>
        <w:spacing w:line="360" w:lineRule="auto"/>
        <w:ind w:firstLine="498" w:firstLineChars="166"/>
        <w:jc w:val="left"/>
        <w:rPr>
          <w:rFonts w:ascii="华文中宋" w:hAnsi="华文中宋" w:eastAsia="华文中宋"/>
          <w:bCs/>
          <w:kern w:val="0"/>
          <w:sz w:val="30"/>
          <w:szCs w:val="30"/>
        </w:rPr>
      </w:pPr>
      <w:r>
        <w:rPr>
          <w:rFonts w:hint="eastAsia" w:ascii="华文中宋" w:hAnsi="华文中宋" w:eastAsia="华文中宋"/>
          <w:b/>
          <w:kern w:val="0"/>
          <w:sz w:val="30"/>
          <w:szCs w:val="30"/>
        </w:rPr>
        <w:t xml:space="preserve"> 签订日期：     </w:t>
      </w:r>
      <w:r>
        <w:rPr>
          <w:rFonts w:hint="eastAsia" w:ascii="华文中宋" w:hAnsi="华文中宋" w:eastAsia="华文中宋"/>
          <w:bCs/>
          <w:kern w:val="0"/>
          <w:sz w:val="30"/>
          <w:szCs w:val="30"/>
        </w:rPr>
        <w:t xml:space="preserve">      年     月    日</w:t>
      </w:r>
    </w:p>
    <w:p>
      <w:pPr>
        <w:widowControl/>
        <w:adjustRightInd/>
        <w:snapToGrid/>
        <w:spacing w:line="240" w:lineRule="auto"/>
        <w:ind w:firstLine="0" w:firstLineChars="0"/>
        <w:jc w:val="left"/>
        <w:rPr>
          <w:rFonts w:ascii="华文中宋" w:hAnsi="华文中宋" w:eastAsia="华文中宋"/>
          <w:bCs/>
          <w:kern w:val="0"/>
          <w:sz w:val="30"/>
          <w:szCs w:val="30"/>
        </w:rPr>
      </w:pPr>
      <w:r>
        <w:rPr>
          <w:rFonts w:ascii="华文中宋" w:hAnsi="华文中宋" w:eastAsia="华文中宋"/>
          <w:bCs/>
          <w:kern w:val="0"/>
          <w:sz w:val="30"/>
          <w:szCs w:val="30"/>
        </w:rPr>
        <w:br w:type="page"/>
      </w:r>
    </w:p>
    <w:bookmarkEnd w:id="86"/>
    <w:p>
      <w:pPr>
        <w:widowControl/>
        <w:adjustRightInd/>
        <w:snapToGrid/>
        <w:spacing w:line="240" w:lineRule="auto"/>
        <w:ind w:firstLine="0" w:firstLineChars="0"/>
        <w:jc w:val="center"/>
        <w:rPr>
          <w:rFonts w:ascii="宋体" w:hAnsi="Calibri" w:cs="宋体"/>
          <w:b/>
          <w:bCs/>
          <w:sz w:val="28"/>
          <w:szCs w:val="28"/>
        </w:rPr>
      </w:pPr>
      <w:r>
        <w:rPr>
          <w:rFonts w:hint="eastAsia" w:ascii="宋体" w:hAnsi="Calibri" w:cs="宋体"/>
          <w:b/>
          <w:bCs/>
          <w:sz w:val="28"/>
          <w:szCs w:val="28"/>
        </w:rPr>
        <w:t>沁北电厂2022年第三季度分布式光伏发电项目建筑物结构荷载检测鉴定</w:t>
      </w:r>
    </w:p>
    <w:p>
      <w:pPr>
        <w:widowControl/>
        <w:adjustRightInd/>
        <w:snapToGrid/>
        <w:spacing w:line="240" w:lineRule="auto"/>
        <w:ind w:firstLine="0" w:firstLineChars="0"/>
        <w:jc w:val="center"/>
        <w:rPr>
          <w:rFonts w:ascii="华文中宋" w:hAnsi="华文中宋" w:eastAsia="华文中宋"/>
          <w:b/>
          <w:kern w:val="0"/>
          <w:sz w:val="30"/>
          <w:szCs w:val="30"/>
        </w:rPr>
      </w:pPr>
    </w:p>
    <w:p>
      <w:pPr>
        <w:overflowPunct w:val="0"/>
        <w:autoSpaceDE w:val="0"/>
        <w:autoSpaceDN w:val="0"/>
        <w:spacing w:line="360" w:lineRule="auto"/>
        <w:ind w:firstLine="48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本合同根据《中华人民共和国民法典》，结合工程具体情况，由华能沁北发电有限责任公司（以下称“甲方”）与</w:t>
      </w:r>
      <w:r>
        <w:rPr>
          <w:rFonts w:hint="eastAsia" w:asciiTheme="minorEastAsia" w:hAnsiTheme="minorEastAsia" w:eastAsiaTheme="minorEastAsia"/>
          <w:color w:val="000000" w:themeColor="text1"/>
          <w:u w:val="single"/>
        </w:rPr>
        <w:t xml:space="preserve">                 </w:t>
      </w:r>
      <w:r>
        <w:rPr>
          <w:rFonts w:hint="eastAsia" w:asciiTheme="minorEastAsia" w:hAnsiTheme="minorEastAsia" w:eastAsiaTheme="minorEastAsia"/>
          <w:color w:val="000000" w:themeColor="text1"/>
        </w:rPr>
        <w:t>（以下称“乙方”）共同商定并签署。</w:t>
      </w:r>
    </w:p>
    <w:p>
      <w:pPr>
        <w:topLinePunct/>
        <w:spacing w:line="360" w:lineRule="auto"/>
        <w:ind w:firstLine="422" w:firstLineChars="175"/>
        <w:rPr>
          <w:rFonts w:ascii="宋体" w:hAnsi="宋体"/>
          <w:b/>
          <w:color w:val="000000"/>
        </w:rPr>
      </w:pPr>
      <w:r>
        <w:rPr>
          <w:rFonts w:hint="eastAsia" w:ascii="宋体" w:hAnsi="宋体"/>
          <w:b/>
          <w:color w:val="000000"/>
        </w:rPr>
        <w:t>一、项目承包范围</w:t>
      </w:r>
    </w:p>
    <w:p>
      <w:pPr>
        <w:topLinePunct/>
        <w:spacing w:line="360" w:lineRule="auto"/>
        <w:ind w:firstLine="420" w:firstLineChars="175"/>
        <w:rPr>
          <w:rFonts w:ascii="宋体" w:hAnsi="宋体"/>
          <w:bCs/>
          <w:color w:val="000000"/>
        </w:rPr>
      </w:pPr>
      <w:r>
        <w:rPr>
          <w:rFonts w:hint="eastAsia" w:ascii="宋体" w:hAnsi="宋体"/>
          <w:color w:val="000000"/>
        </w:rPr>
        <w:t>1.1 项目概况：</w:t>
      </w:r>
      <w:r>
        <w:rPr>
          <w:rFonts w:ascii="宋体" w:hAnsi="宋体"/>
          <w:bCs/>
          <w:color w:val="000000"/>
        </w:rPr>
        <w:t>暂定在天龙焦化、鲁泰能源、济世药业、济晋高速、中煤科工、富士康、五龙口纳米产业园及</w:t>
      </w:r>
      <w:r>
        <w:rPr>
          <w:rFonts w:hint="eastAsia" w:ascii="宋体" w:hAnsi="宋体"/>
          <w:bCs/>
          <w:color w:val="000000"/>
        </w:rPr>
        <w:t>林安</w:t>
      </w:r>
      <w:r>
        <w:rPr>
          <w:rFonts w:ascii="宋体" w:hAnsi="宋体"/>
          <w:bCs/>
          <w:color w:val="000000"/>
        </w:rPr>
        <w:t>（</w:t>
      </w:r>
      <w:r>
        <w:rPr>
          <w:rFonts w:hint="eastAsia" w:ascii="宋体" w:hAnsi="宋体"/>
          <w:bCs/>
          <w:color w:val="000000"/>
        </w:rPr>
        <w:t>偃师</w:t>
      </w:r>
      <w:r>
        <w:rPr>
          <w:rFonts w:ascii="宋体" w:hAnsi="宋体"/>
          <w:bCs/>
          <w:color w:val="000000"/>
        </w:rPr>
        <w:t>）</w:t>
      </w:r>
      <w:r>
        <w:rPr>
          <w:rFonts w:hint="eastAsia" w:ascii="宋体" w:hAnsi="宋体"/>
          <w:bCs/>
          <w:color w:val="000000"/>
        </w:rPr>
        <w:t>商贸物流城</w:t>
      </w:r>
      <w:r>
        <w:rPr>
          <w:rFonts w:ascii="宋体" w:hAnsi="宋体"/>
          <w:bCs/>
          <w:color w:val="000000"/>
        </w:rPr>
        <w:t>等单位的</w:t>
      </w:r>
      <w:r>
        <w:rPr>
          <w:rFonts w:hint="eastAsia" w:ascii="宋体" w:hAnsi="宋体"/>
          <w:bCs/>
          <w:color w:val="000000"/>
        </w:rPr>
        <w:t>建筑物共计157458平方米（其中</w:t>
      </w:r>
      <w:r>
        <w:rPr>
          <w:rFonts w:hint="eastAsia" w:cs="宋体"/>
          <w:color w:val="000000"/>
          <w:kern w:val="0"/>
          <w:szCs w:val="22"/>
        </w:rPr>
        <w:t>混凝土框架屋顶</w:t>
      </w:r>
      <w:r>
        <w:rPr>
          <w:rFonts w:hint="eastAsia" w:ascii="宋体" w:hAnsi="宋体"/>
          <w:bCs/>
          <w:color w:val="000000"/>
        </w:rPr>
        <w:t>面积30000平方米，钢结构屋顶面积127458平方米）的屋顶上建设分布式光伏电站，需对</w:t>
      </w:r>
      <w:r>
        <w:rPr>
          <w:rFonts w:ascii="宋体" w:hAnsi="宋体"/>
          <w:bCs/>
          <w:color w:val="000000"/>
        </w:rPr>
        <w:t>拟建设屋顶分布式光伏电站的建筑物进行</w:t>
      </w:r>
      <w:r>
        <w:rPr>
          <w:rFonts w:hint="eastAsia" w:ascii="宋体" w:hAnsi="宋体"/>
          <w:bCs/>
          <w:color w:val="000000"/>
        </w:rPr>
        <w:t>载荷鉴定，并出具相应的鉴定报告。</w:t>
      </w:r>
    </w:p>
    <w:p>
      <w:pPr>
        <w:overflowPunct w:val="0"/>
        <w:autoSpaceDE w:val="0"/>
        <w:autoSpaceDN w:val="0"/>
        <w:spacing w:line="360" w:lineRule="auto"/>
        <w:ind w:firstLine="48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若本承包范围内拟建设屋顶分布式光伏发电项目企业不具备建设条件时，甲方可另行委派乙方参与其他屋顶分布式光伏发电项目的建筑物</w:t>
      </w:r>
      <w:r>
        <w:rPr>
          <w:rFonts w:hint="eastAsia" w:asciiTheme="minorEastAsia" w:hAnsiTheme="minorEastAsia" w:eastAsiaTheme="minorEastAsia"/>
          <w:bCs/>
          <w:color w:val="000000" w:themeColor="text1"/>
        </w:rPr>
        <w:t>结构荷载检测鉴定</w:t>
      </w:r>
      <w:r>
        <w:rPr>
          <w:rFonts w:hint="eastAsia" w:asciiTheme="minorEastAsia" w:hAnsiTheme="minorEastAsia" w:eastAsiaTheme="minorEastAsia"/>
          <w:color w:val="000000" w:themeColor="text1"/>
        </w:rPr>
        <w:t>工作，本合同正常执行部分的面积与甲方另行委派的工作面积之和不超过本合同签订的工作面积（总计不超过157458平方米）。</w:t>
      </w:r>
    </w:p>
    <w:p>
      <w:pPr>
        <w:topLinePunct/>
        <w:spacing w:line="360" w:lineRule="auto"/>
        <w:ind w:firstLine="420" w:firstLineChars="175"/>
        <w:rPr>
          <w:rFonts w:ascii="宋体" w:hAnsi="宋体"/>
          <w:color w:val="000000"/>
        </w:rPr>
      </w:pPr>
      <w:r>
        <w:rPr>
          <w:rFonts w:hint="eastAsia" w:ascii="宋体" w:hAnsi="宋体"/>
          <w:color w:val="000000"/>
        </w:rPr>
        <w:t>1.2 项目要求：项目</w:t>
      </w:r>
      <w:r>
        <w:rPr>
          <w:rFonts w:hint="eastAsia" w:ascii="宋体" w:hAnsi="宋体"/>
          <w:bCs/>
          <w:color w:val="000000"/>
        </w:rPr>
        <w:t>对拟建设分布式光伏电站的建筑物</w:t>
      </w:r>
      <w:r>
        <w:rPr>
          <w:rFonts w:ascii="宋体" w:hAnsi="宋体"/>
          <w:bCs/>
          <w:color w:val="000000"/>
        </w:rPr>
        <w:t>结构荷载进行检测鉴定，对合格的建筑出具</w:t>
      </w:r>
      <w:r>
        <w:rPr>
          <w:rFonts w:hint="eastAsia" w:ascii="宋体" w:hAnsi="宋体"/>
          <w:bCs/>
          <w:color w:val="000000"/>
        </w:rPr>
        <w:t>建筑物</w:t>
      </w:r>
      <w:r>
        <w:rPr>
          <w:rFonts w:ascii="宋体" w:hAnsi="宋体"/>
          <w:bCs/>
          <w:color w:val="000000"/>
        </w:rPr>
        <w:t>结构荷载检测鉴定合格报告，对不合格的建筑出具</w:t>
      </w:r>
      <w:r>
        <w:rPr>
          <w:rFonts w:hint="eastAsia" w:ascii="宋体" w:hAnsi="宋体"/>
          <w:bCs/>
          <w:color w:val="000000"/>
        </w:rPr>
        <w:t>建筑物</w:t>
      </w:r>
      <w:r>
        <w:rPr>
          <w:rFonts w:ascii="宋体" w:hAnsi="宋体"/>
          <w:bCs/>
          <w:color w:val="000000"/>
        </w:rPr>
        <w:t>结构荷载检测鉴定不合格报告并在报告中明确不合格因素</w:t>
      </w:r>
      <w:r>
        <w:rPr>
          <w:rFonts w:hint="eastAsia" w:ascii="宋体" w:hAnsi="宋体"/>
          <w:bCs/>
          <w:color w:val="000000"/>
        </w:rPr>
        <w:t>，为后续工作提供依据</w:t>
      </w:r>
      <w:r>
        <w:rPr>
          <w:rFonts w:hint="eastAsia" w:ascii="宋体" w:hAnsi="宋体"/>
          <w:color w:val="000000"/>
        </w:rPr>
        <w:t>。</w:t>
      </w:r>
      <w:r>
        <w:rPr>
          <w:rFonts w:ascii="宋体" w:hAnsi="宋体"/>
          <w:color w:val="000000"/>
        </w:rPr>
        <w:t xml:space="preserve"> </w:t>
      </w:r>
    </w:p>
    <w:p>
      <w:pPr>
        <w:topLinePunct/>
        <w:spacing w:line="360" w:lineRule="auto"/>
        <w:ind w:firstLine="420" w:firstLineChars="175"/>
        <w:rPr>
          <w:rFonts w:ascii="宋体" w:hAnsi="宋体"/>
          <w:color w:val="000000"/>
        </w:rPr>
      </w:pPr>
      <w:r>
        <w:rPr>
          <w:rFonts w:hint="eastAsia" w:ascii="宋体" w:hAnsi="宋体"/>
          <w:color w:val="000000"/>
        </w:rPr>
        <w:t>1.3 项目工期：自具备开工条件之日起</w:t>
      </w:r>
      <w:r>
        <w:rPr>
          <w:rFonts w:ascii="宋体" w:hAnsi="宋体"/>
          <w:color w:val="000000"/>
        </w:rPr>
        <w:t>1</w:t>
      </w:r>
      <w:r>
        <w:rPr>
          <w:rFonts w:hint="eastAsia" w:ascii="宋体" w:hAnsi="宋体"/>
          <w:color w:val="000000"/>
        </w:rPr>
        <w:t>5日内完成。</w:t>
      </w:r>
    </w:p>
    <w:p>
      <w:pPr>
        <w:topLinePunct/>
        <w:spacing w:line="360" w:lineRule="auto"/>
        <w:ind w:firstLine="422" w:firstLineChars="175"/>
        <w:rPr>
          <w:rFonts w:ascii="宋体" w:hAnsi="宋体"/>
          <w:b/>
          <w:color w:val="000000"/>
        </w:rPr>
      </w:pPr>
      <w:r>
        <w:rPr>
          <w:rFonts w:hint="eastAsia" w:ascii="宋体" w:hAnsi="宋体"/>
          <w:b/>
          <w:color w:val="000000"/>
        </w:rPr>
        <w:t>二、基本工作内容</w:t>
      </w:r>
    </w:p>
    <w:p>
      <w:pPr>
        <w:topLinePunct/>
        <w:spacing w:line="360" w:lineRule="auto"/>
        <w:ind w:firstLine="420" w:firstLineChars="175"/>
        <w:rPr>
          <w:rFonts w:ascii="宋体" w:hAnsi="宋体"/>
          <w:color w:val="000000"/>
        </w:rPr>
      </w:pPr>
      <w:r>
        <w:rPr>
          <w:rFonts w:hint="eastAsia" w:ascii="宋体" w:hAnsi="宋体"/>
          <w:color w:val="000000"/>
        </w:rPr>
        <w:t>2.1  本合同的工作范围包括</w:t>
      </w:r>
    </w:p>
    <w:p>
      <w:pPr>
        <w:topLinePunct/>
        <w:spacing w:line="360" w:lineRule="auto"/>
        <w:ind w:firstLine="420" w:firstLineChars="175"/>
        <w:rPr>
          <w:rFonts w:ascii="宋体" w:hAnsi="宋体"/>
          <w:color w:val="000000"/>
        </w:rPr>
      </w:pPr>
      <w:r>
        <w:rPr>
          <w:rFonts w:ascii="宋体" w:hAnsi="宋体"/>
          <w:bCs/>
          <w:color w:val="000000"/>
        </w:rPr>
        <w:t>对天龙焦化、鲁泰能源、济世药业、济晋高速、中煤科工、富士康、五龙口纳米产业园及</w:t>
      </w:r>
      <w:r>
        <w:rPr>
          <w:rFonts w:hint="eastAsia" w:ascii="宋体" w:hAnsi="宋体"/>
          <w:bCs/>
          <w:color w:val="000000"/>
        </w:rPr>
        <w:t>林安</w:t>
      </w:r>
      <w:r>
        <w:rPr>
          <w:rFonts w:ascii="宋体" w:hAnsi="宋体"/>
          <w:bCs/>
          <w:color w:val="000000"/>
        </w:rPr>
        <w:t>（</w:t>
      </w:r>
      <w:r>
        <w:rPr>
          <w:rFonts w:hint="eastAsia" w:ascii="宋体" w:hAnsi="宋体"/>
          <w:bCs/>
          <w:color w:val="000000"/>
        </w:rPr>
        <w:t>偃师</w:t>
      </w:r>
      <w:r>
        <w:rPr>
          <w:rFonts w:ascii="宋体" w:hAnsi="宋体"/>
          <w:bCs/>
          <w:color w:val="000000"/>
        </w:rPr>
        <w:t>）</w:t>
      </w:r>
      <w:r>
        <w:rPr>
          <w:rFonts w:hint="eastAsia" w:ascii="宋体" w:hAnsi="宋体"/>
          <w:bCs/>
          <w:color w:val="000000"/>
        </w:rPr>
        <w:t>商贸物流城</w:t>
      </w:r>
      <w:r>
        <w:rPr>
          <w:rFonts w:ascii="宋体" w:hAnsi="宋体"/>
          <w:bCs/>
          <w:color w:val="000000"/>
        </w:rPr>
        <w:t>等单位（或甲方另行委托的其他项目）拟建设屋顶分布式光伏电站</w:t>
      </w:r>
      <w:r>
        <w:rPr>
          <w:rFonts w:hint="eastAsia" w:ascii="宋体" w:hAnsi="宋体"/>
          <w:bCs/>
          <w:color w:val="000000"/>
        </w:rPr>
        <w:t>共计157458平方米</w:t>
      </w:r>
      <w:r>
        <w:rPr>
          <w:rFonts w:ascii="宋体" w:hAnsi="宋体"/>
          <w:bCs/>
          <w:color w:val="000000"/>
        </w:rPr>
        <w:t>的建筑物结构荷载进行检测鉴定，并出具</w:t>
      </w:r>
      <w:r>
        <w:rPr>
          <w:rFonts w:hint="eastAsia" w:ascii="宋体" w:hAnsi="宋体"/>
          <w:bCs/>
          <w:color w:val="000000"/>
        </w:rPr>
        <w:t>建筑物</w:t>
      </w:r>
      <w:r>
        <w:rPr>
          <w:rFonts w:ascii="宋体" w:hAnsi="宋体"/>
          <w:bCs/>
          <w:color w:val="000000"/>
        </w:rPr>
        <w:t>结构荷载检测鉴定报告，对不合格的建筑出具</w:t>
      </w:r>
      <w:r>
        <w:rPr>
          <w:rFonts w:hint="eastAsia" w:ascii="宋体" w:hAnsi="宋体"/>
          <w:bCs/>
          <w:color w:val="000000"/>
        </w:rPr>
        <w:t>建筑物</w:t>
      </w:r>
      <w:r>
        <w:rPr>
          <w:rFonts w:ascii="宋体" w:hAnsi="宋体"/>
          <w:bCs/>
          <w:color w:val="000000"/>
        </w:rPr>
        <w:t>结构荷载检测鉴定不合格报告并在报告中明确不合格因素。</w:t>
      </w:r>
    </w:p>
    <w:p>
      <w:pPr>
        <w:topLinePunct/>
        <w:spacing w:line="360" w:lineRule="auto"/>
        <w:ind w:firstLine="420" w:firstLineChars="175"/>
        <w:rPr>
          <w:rFonts w:ascii="宋体" w:hAnsi="宋体"/>
          <w:color w:val="000000"/>
        </w:rPr>
      </w:pPr>
      <w:r>
        <w:rPr>
          <w:rFonts w:hint="eastAsia" w:ascii="宋体" w:hAnsi="宋体"/>
          <w:color w:val="000000"/>
        </w:rPr>
        <w:t>2.2  工作内容</w:t>
      </w:r>
    </w:p>
    <w:p>
      <w:pPr>
        <w:topLinePunct/>
        <w:spacing w:line="360" w:lineRule="auto"/>
        <w:ind w:firstLine="420" w:firstLineChars="175"/>
        <w:rPr>
          <w:rFonts w:ascii="宋体" w:hAnsi="宋体"/>
          <w:color w:val="000000"/>
        </w:rPr>
      </w:pPr>
      <w:r>
        <w:rPr>
          <w:rFonts w:hint="eastAsia" w:ascii="宋体" w:hAnsi="宋体"/>
          <w:color w:val="000000"/>
        </w:rPr>
        <w:t xml:space="preserve">2.2.1 </w:t>
      </w:r>
      <w:r>
        <w:rPr>
          <w:rFonts w:hint="eastAsia" w:ascii="宋体" w:hAnsi="宋体"/>
          <w:bCs/>
          <w:color w:val="000000"/>
        </w:rPr>
        <w:t>建筑物</w:t>
      </w:r>
      <w:r>
        <w:rPr>
          <w:rFonts w:ascii="宋体" w:hAnsi="宋体"/>
          <w:bCs/>
          <w:color w:val="000000"/>
        </w:rPr>
        <w:t>结构荷载检测鉴定报告</w:t>
      </w:r>
      <w:r>
        <w:rPr>
          <w:rFonts w:hint="eastAsia" w:ascii="宋体" w:hAnsi="宋体"/>
          <w:color w:val="000000"/>
        </w:rPr>
        <w:t>：</w:t>
      </w:r>
    </w:p>
    <w:p>
      <w:pPr>
        <w:topLinePunct/>
        <w:spacing w:line="360" w:lineRule="auto"/>
        <w:ind w:firstLine="420" w:firstLineChars="175"/>
        <w:rPr>
          <w:rFonts w:ascii="宋体" w:hAnsi="宋体"/>
          <w:color w:val="000000"/>
        </w:rPr>
      </w:pPr>
      <w:r>
        <w:rPr>
          <w:rFonts w:ascii="宋体" w:hAnsi="宋体"/>
          <w:color w:val="000000"/>
        </w:rPr>
        <w:t>按照《</w:t>
      </w:r>
      <w:r>
        <w:rPr>
          <w:rFonts w:hint="eastAsia" w:ascii="宋体" w:hAnsi="宋体"/>
          <w:bCs/>
          <w:color w:val="000000"/>
        </w:rPr>
        <w:t>沁北电厂2022年第三季度分布式光伏发电项目建筑物结构荷载检测鉴定</w:t>
      </w:r>
      <w:r>
        <w:rPr>
          <w:rFonts w:ascii="宋体" w:hAnsi="宋体"/>
          <w:color w:val="000000"/>
        </w:rPr>
        <w:t>技术规范书》</w:t>
      </w:r>
      <w:r>
        <w:rPr>
          <w:rFonts w:hint="eastAsia" w:ascii="宋体" w:hAnsi="宋体"/>
          <w:color w:val="000000"/>
        </w:rPr>
        <w:t>要求，编制完成</w:t>
      </w:r>
      <w:r>
        <w:rPr>
          <w:rFonts w:ascii="宋体" w:hAnsi="宋体"/>
          <w:bCs/>
          <w:color w:val="000000"/>
        </w:rPr>
        <w:t>天龙焦化、鲁泰能源、济世药业、济晋高速、中煤科工、富士康、五龙口纳米产业园及</w:t>
      </w:r>
      <w:r>
        <w:rPr>
          <w:rFonts w:hint="eastAsia" w:ascii="宋体" w:hAnsi="宋体"/>
          <w:bCs/>
          <w:color w:val="000000"/>
        </w:rPr>
        <w:t>林安</w:t>
      </w:r>
      <w:r>
        <w:rPr>
          <w:rFonts w:ascii="宋体" w:hAnsi="宋体"/>
          <w:bCs/>
          <w:color w:val="000000"/>
        </w:rPr>
        <w:t>（</w:t>
      </w:r>
      <w:r>
        <w:rPr>
          <w:rFonts w:hint="eastAsia" w:ascii="宋体" w:hAnsi="宋体"/>
          <w:bCs/>
          <w:color w:val="000000"/>
        </w:rPr>
        <w:t>偃师</w:t>
      </w:r>
      <w:r>
        <w:rPr>
          <w:rFonts w:ascii="宋体" w:hAnsi="宋体"/>
          <w:bCs/>
          <w:color w:val="000000"/>
        </w:rPr>
        <w:t>）</w:t>
      </w:r>
      <w:r>
        <w:rPr>
          <w:rFonts w:hint="eastAsia" w:ascii="宋体" w:hAnsi="宋体"/>
          <w:bCs/>
          <w:color w:val="000000"/>
        </w:rPr>
        <w:t>商贸物流城</w:t>
      </w:r>
      <w:r>
        <w:rPr>
          <w:rFonts w:ascii="宋体" w:hAnsi="宋体"/>
          <w:bCs/>
          <w:color w:val="000000"/>
        </w:rPr>
        <w:t>等单位拟建设屋顶分布式光伏电站建筑物的</w:t>
      </w:r>
      <w:r>
        <w:rPr>
          <w:rFonts w:hint="eastAsia" w:ascii="宋体" w:hAnsi="宋体"/>
          <w:color w:val="000000"/>
        </w:rPr>
        <w:t>《</w:t>
      </w:r>
      <w:r>
        <w:rPr>
          <w:rFonts w:ascii="宋体" w:hAnsi="宋体"/>
          <w:bCs/>
          <w:color w:val="000000"/>
        </w:rPr>
        <w:t>建筑物结构荷载进行检测鉴定</w:t>
      </w:r>
      <w:r>
        <w:rPr>
          <w:rFonts w:hint="eastAsia" w:ascii="宋体" w:hAnsi="宋体"/>
          <w:bCs/>
          <w:color w:val="000000"/>
        </w:rPr>
        <w:t>报告</w:t>
      </w:r>
      <w:r>
        <w:rPr>
          <w:rFonts w:hint="eastAsia" w:ascii="宋体" w:hAnsi="宋体"/>
          <w:color w:val="000000"/>
        </w:rPr>
        <w:t>》。</w:t>
      </w:r>
    </w:p>
    <w:p>
      <w:pPr>
        <w:topLinePunct/>
        <w:spacing w:line="360" w:lineRule="auto"/>
        <w:ind w:firstLine="422" w:firstLineChars="175"/>
        <w:rPr>
          <w:rFonts w:ascii="宋体" w:hAnsi="宋体"/>
          <w:b/>
          <w:color w:val="000000"/>
        </w:rPr>
      </w:pPr>
      <w:r>
        <w:rPr>
          <w:rFonts w:ascii="宋体" w:hAnsi="宋体"/>
          <w:b/>
          <w:color w:val="000000"/>
        </w:rPr>
        <w:t>三、</w:t>
      </w:r>
      <w:bookmarkStart w:id="87" w:name="_Toc97708072"/>
      <w:r>
        <w:rPr>
          <w:rFonts w:ascii="宋体" w:hAnsi="宋体"/>
          <w:b/>
          <w:color w:val="000000"/>
        </w:rPr>
        <w:t>双方权利及义务</w:t>
      </w:r>
      <w:bookmarkEnd w:id="87"/>
    </w:p>
    <w:p>
      <w:pPr>
        <w:topLinePunct/>
        <w:spacing w:line="360" w:lineRule="auto"/>
        <w:ind w:firstLine="420" w:firstLineChars="175"/>
        <w:rPr>
          <w:rFonts w:ascii="宋体" w:hAnsi="宋体"/>
          <w:color w:val="000000"/>
        </w:rPr>
      </w:pPr>
      <w:r>
        <w:rPr>
          <w:rFonts w:hint="eastAsia" w:ascii="宋体" w:hAnsi="宋体"/>
          <w:color w:val="000000"/>
        </w:rPr>
        <w:t>（一）甲方的权利及义务</w:t>
      </w:r>
    </w:p>
    <w:p>
      <w:pPr>
        <w:topLinePunct/>
        <w:spacing w:line="360" w:lineRule="auto"/>
        <w:ind w:firstLine="420" w:firstLineChars="175"/>
        <w:rPr>
          <w:rFonts w:ascii="宋体" w:hAnsi="宋体"/>
          <w:color w:val="000000"/>
        </w:rPr>
      </w:pPr>
      <w:r>
        <w:rPr>
          <w:rFonts w:hint="eastAsia" w:ascii="宋体" w:hAnsi="宋体"/>
          <w:color w:val="000000"/>
        </w:rPr>
        <w:t>1、服务期间,协助乙方办理进入甲方现场的出入证。</w:t>
      </w:r>
    </w:p>
    <w:p>
      <w:pPr>
        <w:topLinePunct/>
        <w:spacing w:line="360" w:lineRule="auto"/>
        <w:ind w:firstLine="420" w:firstLineChars="175"/>
        <w:rPr>
          <w:rFonts w:ascii="宋体" w:hAnsi="宋体"/>
          <w:color w:val="000000"/>
        </w:rPr>
      </w:pPr>
      <w:r>
        <w:rPr>
          <w:rFonts w:hint="eastAsia" w:ascii="宋体" w:hAnsi="宋体"/>
          <w:color w:val="000000"/>
        </w:rPr>
        <w:t>2、甲方有权对乙方及乙方人员的工作进行监督指导，有权对乙方出现的违章现象进行劝阻、制止和处罚，有权追究乙方违约责任并以书面形式通知乙方。</w:t>
      </w:r>
    </w:p>
    <w:p>
      <w:pPr>
        <w:topLinePunct/>
        <w:spacing w:line="360" w:lineRule="auto"/>
        <w:ind w:firstLine="420" w:firstLineChars="175"/>
        <w:rPr>
          <w:rFonts w:ascii="宋体" w:hAnsi="宋体"/>
          <w:color w:val="000000"/>
        </w:rPr>
      </w:pPr>
      <w:r>
        <w:rPr>
          <w:rFonts w:hint="eastAsia" w:ascii="宋体" w:hAnsi="宋体"/>
          <w:color w:val="000000"/>
        </w:rPr>
        <w:t>3、甲方有权根据现场情况的变化，对乙方的工作内容提出变更或调整。除紧急情况外，甲方对乙方工作内容提出变更的，应当及时通知乙方。</w:t>
      </w:r>
    </w:p>
    <w:p>
      <w:pPr>
        <w:topLinePunct/>
        <w:spacing w:line="360" w:lineRule="auto"/>
        <w:ind w:firstLine="420" w:firstLineChars="175"/>
        <w:rPr>
          <w:rFonts w:ascii="宋体" w:hAnsi="宋体"/>
          <w:color w:val="000000"/>
          <w:szCs w:val="24"/>
        </w:rPr>
      </w:pPr>
      <w:r>
        <w:rPr>
          <w:rFonts w:hint="eastAsia" w:ascii="宋体" w:hAnsi="宋体"/>
          <w:color w:val="000000"/>
        </w:rPr>
        <w:t>4、</w:t>
      </w:r>
      <w:r>
        <w:rPr>
          <w:rFonts w:hint="eastAsia" w:ascii="宋体" w:hAnsi="宋体"/>
          <w:color w:val="000000"/>
          <w:szCs w:val="24"/>
        </w:rPr>
        <w:t>对于在项目执行中完成工作不符合甲方要求的乙方人员，甲方有权要求乙方在规定时间内更换，并根据造成损失的大小向乙方索取赔偿。</w:t>
      </w:r>
    </w:p>
    <w:p>
      <w:pPr>
        <w:topLinePunct/>
        <w:spacing w:line="360" w:lineRule="auto"/>
        <w:ind w:firstLine="420" w:firstLineChars="175"/>
        <w:rPr>
          <w:rFonts w:ascii="宋体" w:hAnsi="宋体"/>
          <w:color w:val="000000"/>
          <w:szCs w:val="24"/>
        </w:rPr>
      </w:pPr>
      <w:r>
        <w:rPr>
          <w:rFonts w:hint="eastAsia" w:ascii="宋体" w:hAnsi="宋体"/>
          <w:color w:val="000000"/>
        </w:rPr>
        <w:t>5、</w:t>
      </w:r>
      <w:r>
        <w:rPr>
          <w:rFonts w:hint="eastAsia" w:ascii="宋体" w:hAnsi="宋体"/>
          <w:color w:val="000000"/>
          <w:szCs w:val="24"/>
        </w:rPr>
        <w:t>甲方按合同规定及时配合乙方办理结算工作，甲方应当按照合同约定的方式及时足额向乙方支付合同价款。</w:t>
      </w:r>
    </w:p>
    <w:p>
      <w:pPr>
        <w:topLinePunct/>
        <w:spacing w:line="360" w:lineRule="auto"/>
        <w:ind w:firstLine="420" w:firstLineChars="175"/>
        <w:rPr>
          <w:rFonts w:ascii="宋体" w:hAnsi="宋体"/>
          <w:color w:val="000000"/>
          <w:szCs w:val="24"/>
        </w:rPr>
      </w:pPr>
      <w:r>
        <w:rPr>
          <w:rFonts w:hint="eastAsia" w:ascii="宋体" w:hAnsi="宋体"/>
          <w:color w:val="000000"/>
        </w:rPr>
        <w:t>6、</w:t>
      </w:r>
      <w:r>
        <w:rPr>
          <w:rFonts w:hint="eastAsia" w:ascii="宋体" w:hAnsi="宋体"/>
          <w:color w:val="000000"/>
          <w:szCs w:val="24"/>
        </w:rPr>
        <w:t>甲方有权对乙方根据本合同及附件约定的考核标准进行奖励和处罚。甲方有权对因乙方及乙方工作人员原因造成的甲方损失要求乙方赔偿，有权从应付乙方的合同价款中直接扣减相应金额作为赔偿金。</w:t>
      </w:r>
    </w:p>
    <w:p>
      <w:pPr>
        <w:topLinePunct/>
        <w:spacing w:line="360" w:lineRule="auto"/>
        <w:ind w:firstLine="420" w:firstLineChars="175"/>
        <w:rPr>
          <w:rFonts w:ascii="宋体" w:hAnsi="宋体"/>
          <w:color w:val="000000"/>
          <w:szCs w:val="24"/>
        </w:rPr>
      </w:pPr>
      <w:r>
        <w:rPr>
          <w:rFonts w:hint="eastAsia" w:ascii="宋体" w:hAnsi="宋体"/>
          <w:color w:val="000000"/>
          <w:szCs w:val="24"/>
        </w:rPr>
        <w:t>7、甲方应当向乙方提供合同范围内相关的资料和说明。</w:t>
      </w:r>
    </w:p>
    <w:p>
      <w:pPr>
        <w:topLinePunct/>
        <w:spacing w:line="360" w:lineRule="auto"/>
        <w:ind w:firstLine="420" w:firstLineChars="175"/>
        <w:rPr>
          <w:rFonts w:ascii="宋体" w:hAnsi="宋体"/>
          <w:color w:val="000000"/>
          <w:szCs w:val="24"/>
        </w:rPr>
      </w:pPr>
      <w:r>
        <w:rPr>
          <w:rFonts w:hint="eastAsia" w:ascii="宋体" w:hAnsi="宋体"/>
          <w:color w:val="000000"/>
        </w:rPr>
        <w:t>8、</w:t>
      </w:r>
      <w:r>
        <w:rPr>
          <w:rFonts w:hint="eastAsia" w:ascii="宋体" w:hAnsi="宋体"/>
          <w:color w:val="000000"/>
          <w:szCs w:val="24"/>
        </w:rPr>
        <w:t>甲方保留对乙方在合同执行过程中因出现重大失误或不合作行为而终止本合同的权利。</w:t>
      </w:r>
    </w:p>
    <w:p>
      <w:pPr>
        <w:topLinePunct/>
        <w:spacing w:line="360" w:lineRule="auto"/>
        <w:ind w:firstLine="420" w:firstLineChars="175"/>
        <w:rPr>
          <w:rFonts w:ascii="宋体" w:hAnsi="宋体"/>
          <w:color w:val="000000"/>
          <w:szCs w:val="24"/>
        </w:rPr>
      </w:pPr>
      <w:r>
        <w:rPr>
          <w:rFonts w:hint="eastAsia" w:ascii="宋体" w:hAnsi="宋体"/>
          <w:color w:val="000000"/>
          <w:szCs w:val="24"/>
        </w:rPr>
        <w:t>9、技术规范书中的其他约定。</w:t>
      </w:r>
    </w:p>
    <w:p>
      <w:pPr>
        <w:topLinePunct/>
        <w:spacing w:line="360" w:lineRule="auto"/>
        <w:ind w:firstLine="420" w:firstLineChars="175"/>
        <w:rPr>
          <w:rFonts w:ascii="宋体" w:hAnsi="宋体"/>
          <w:color w:val="000000"/>
        </w:rPr>
      </w:pPr>
      <w:r>
        <w:rPr>
          <w:rFonts w:hint="eastAsia" w:ascii="宋体" w:hAnsi="宋体"/>
          <w:color w:val="000000"/>
        </w:rPr>
        <w:t>（二）乙方的权利及义务</w:t>
      </w:r>
    </w:p>
    <w:p>
      <w:pPr>
        <w:topLinePunct/>
        <w:spacing w:line="360" w:lineRule="auto"/>
        <w:ind w:firstLine="420" w:firstLineChars="175"/>
        <w:rPr>
          <w:rFonts w:ascii="宋体" w:hAnsi="宋体"/>
          <w:color w:val="000000"/>
          <w:szCs w:val="24"/>
        </w:rPr>
      </w:pPr>
      <w:r>
        <w:rPr>
          <w:rFonts w:hint="eastAsia" w:ascii="宋体" w:hAnsi="宋体"/>
          <w:color w:val="000000"/>
          <w:szCs w:val="24"/>
        </w:rPr>
        <w:t>1、按照国家及行业现行的标准、规程、规范、技术条例进行结构荷载检测鉴定工作，严格掌握设计标准，控制工程造价。</w:t>
      </w:r>
    </w:p>
    <w:p>
      <w:pPr>
        <w:topLinePunct/>
        <w:spacing w:line="360" w:lineRule="auto"/>
        <w:ind w:firstLine="420" w:firstLineChars="175"/>
        <w:rPr>
          <w:rFonts w:ascii="宋体" w:hAnsi="宋体"/>
          <w:color w:val="000000"/>
          <w:szCs w:val="24"/>
        </w:rPr>
      </w:pPr>
      <w:r>
        <w:rPr>
          <w:rFonts w:hint="eastAsia" w:ascii="宋体" w:hAnsi="宋体"/>
          <w:color w:val="000000"/>
          <w:szCs w:val="24"/>
        </w:rPr>
        <w:t>2、按约定的文件项目、时间及份数，向甲方交付相应内容的结构荷载检测鉴定文件，并对委托范围内的结构荷载检测鉴定的完整性、准确性、实用性负责。</w:t>
      </w:r>
    </w:p>
    <w:p>
      <w:pPr>
        <w:topLinePunct/>
        <w:spacing w:line="360" w:lineRule="auto"/>
        <w:ind w:firstLine="420" w:firstLineChars="175"/>
        <w:rPr>
          <w:rFonts w:ascii="宋体" w:hAnsi="宋体"/>
          <w:color w:val="000000"/>
          <w:szCs w:val="24"/>
        </w:rPr>
      </w:pPr>
      <w:r>
        <w:rPr>
          <w:rFonts w:hint="eastAsia" w:ascii="宋体" w:hAnsi="宋体"/>
          <w:color w:val="000000"/>
          <w:szCs w:val="24"/>
        </w:rPr>
        <w:t>3、按照合同的规定和谈判响应文件中有关质量方面的承诺，进行结构荷载检测鉴定的组织和具体实施，保证结构荷载检测鉴定工作质量。</w:t>
      </w:r>
    </w:p>
    <w:p>
      <w:pPr>
        <w:topLinePunct/>
        <w:spacing w:line="360" w:lineRule="auto"/>
        <w:ind w:firstLine="420" w:firstLineChars="175"/>
        <w:rPr>
          <w:rFonts w:ascii="宋体" w:hAnsi="宋体"/>
          <w:color w:val="000000"/>
          <w:szCs w:val="24"/>
        </w:rPr>
      </w:pPr>
      <w:r>
        <w:rPr>
          <w:rFonts w:hint="eastAsia" w:ascii="宋体" w:hAnsi="宋体"/>
          <w:color w:val="000000"/>
          <w:szCs w:val="24"/>
        </w:rPr>
        <w:t>4、在未获得甲方的书面认可前，不得分包工程结构荷载检测鉴定工作的任何部分。</w:t>
      </w:r>
    </w:p>
    <w:p>
      <w:pPr>
        <w:topLinePunct/>
        <w:spacing w:line="360" w:lineRule="auto"/>
        <w:ind w:firstLine="420" w:firstLineChars="175"/>
        <w:rPr>
          <w:rFonts w:ascii="宋体" w:hAnsi="宋体"/>
          <w:color w:val="000000"/>
          <w:szCs w:val="24"/>
        </w:rPr>
      </w:pPr>
      <w:r>
        <w:rPr>
          <w:rFonts w:hint="eastAsia" w:ascii="宋体" w:hAnsi="宋体"/>
          <w:color w:val="000000"/>
          <w:szCs w:val="24"/>
        </w:rPr>
        <w:t>5、未经甲方同意不得向第三方扩散、转让甲方提交的产品图纸等技术、经济资料。</w:t>
      </w:r>
    </w:p>
    <w:p>
      <w:pPr>
        <w:topLinePunct/>
        <w:spacing w:line="360" w:lineRule="auto"/>
        <w:ind w:firstLine="420" w:firstLineChars="175"/>
        <w:rPr>
          <w:rFonts w:ascii="宋体" w:hAnsi="宋体"/>
          <w:color w:val="000000"/>
        </w:rPr>
      </w:pPr>
      <w:r>
        <w:rPr>
          <w:rFonts w:hint="eastAsia" w:ascii="宋体" w:hAnsi="宋体"/>
          <w:color w:val="000000"/>
        </w:rPr>
        <w:t>6、乙方在工作前应制定可行的安全技术措施，须在甲方项目负责人与运行主管部门同意后方可进入现场工作，在现场踏勘中接受甲方的安全管理，如发现乙方不按安全措施、规范开展工作，甲方有权中止乙方工作。</w:t>
      </w:r>
    </w:p>
    <w:p>
      <w:pPr>
        <w:topLinePunct/>
        <w:spacing w:line="360" w:lineRule="auto"/>
        <w:ind w:firstLine="420" w:firstLineChars="175"/>
        <w:rPr>
          <w:rFonts w:ascii="宋体" w:hAnsi="宋体"/>
          <w:color w:val="000000"/>
        </w:rPr>
      </w:pPr>
      <w:r>
        <w:rPr>
          <w:rFonts w:hint="eastAsia" w:ascii="宋体" w:hAnsi="宋体"/>
          <w:color w:val="000000"/>
        </w:rPr>
        <w:t>7、乙方须按安全规范</w:t>
      </w:r>
      <w:r>
        <w:rPr>
          <w:rFonts w:ascii="宋体" w:hAnsi="宋体"/>
          <w:color w:val="000000"/>
        </w:rPr>
        <w:t>的规定</w:t>
      </w:r>
      <w:r>
        <w:rPr>
          <w:rFonts w:hint="eastAsia" w:ascii="宋体" w:hAnsi="宋体"/>
          <w:color w:val="000000"/>
        </w:rPr>
        <w:t>做好质量和安全管理</w:t>
      </w:r>
      <w:r>
        <w:rPr>
          <w:rFonts w:ascii="宋体" w:hAnsi="宋体"/>
          <w:color w:val="000000"/>
        </w:rPr>
        <w:t>并采取预防事故的措施，特别是防止高空坠落、防触电等事故发生，</w:t>
      </w:r>
      <w:r>
        <w:rPr>
          <w:rFonts w:hint="eastAsia" w:ascii="宋体" w:hAnsi="宋体"/>
          <w:color w:val="000000"/>
        </w:rPr>
        <w:t>要指定现场负责人，</w:t>
      </w:r>
      <w:r>
        <w:rPr>
          <w:rFonts w:ascii="宋体" w:hAnsi="宋体"/>
          <w:color w:val="000000"/>
        </w:rPr>
        <w:t>要加强联系</w:t>
      </w:r>
      <w:r>
        <w:rPr>
          <w:rFonts w:hint="eastAsia" w:ascii="宋体" w:hAnsi="宋体"/>
          <w:color w:val="000000"/>
        </w:rPr>
        <w:t>、</w:t>
      </w:r>
      <w:r>
        <w:rPr>
          <w:rFonts w:ascii="宋体" w:hAnsi="宋体"/>
          <w:color w:val="000000"/>
        </w:rPr>
        <w:t>安排好交叉作业确保安全。</w:t>
      </w:r>
    </w:p>
    <w:p>
      <w:pPr>
        <w:topLinePunct/>
        <w:spacing w:line="360" w:lineRule="auto"/>
        <w:ind w:firstLine="420" w:firstLineChars="175"/>
        <w:rPr>
          <w:rFonts w:ascii="宋体" w:hAnsi="宋体"/>
          <w:color w:val="000000"/>
        </w:rPr>
      </w:pPr>
      <w:r>
        <w:rPr>
          <w:rFonts w:hint="eastAsia" w:ascii="宋体" w:hAnsi="宋体"/>
          <w:color w:val="000000"/>
        </w:rPr>
        <w:t>8、乙方对工作中的安全负全部责任，工作</w:t>
      </w:r>
      <w:r>
        <w:rPr>
          <w:rFonts w:ascii="宋体" w:hAnsi="宋体"/>
          <w:color w:val="000000"/>
        </w:rPr>
        <w:t>过程中如发生重大质量、设备、人身安全事故，</w:t>
      </w:r>
      <w:r>
        <w:rPr>
          <w:rFonts w:hint="eastAsia" w:ascii="宋体" w:hAnsi="宋体"/>
          <w:color w:val="000000"/>
        </w:rPr>
        <w:t>乙方应负责</w:t>
      </w:r>
      <w:r>
        <w:rPr>
          <w:rFonts w:ascii="宋体" w:hAnsi="宋体"/>
          <w:color w:val="000000"/>
        </w:rPr>
        <w:t>妥善保护现场</w:t>
      </w:r>
      <w:r>
        <w:rPr>
          <w:rFonts w:hint="eastAsia" w:ascii="宋体" w:hAnsi="宋体"/>
          <w:color w:val="000000"/>
        </w:rPr>
        <w:t>并</w:t>
      </w:r>
      <w:r>
        <w:rPr>
          <w:rFonts w:ascii="宋体" w:hAnsi="宋体"/>
          <w:color w:val="000000"/>
        </w:rPr>
        <w:t>及时通知甲方，</w:t>
      </w:r>
      <w:r>
        <w:rPr>
          <w:rFonts w:hint="eastAsia" w:ascii="宋体" w:hAnsi="宋体"/>
          <w:color w:val="000000"/>
        </w:rPr>
        <w:t>属乙方或乙方工作人员原因和责任造成的一切责任和经济损失，均由乙方承担，乙方还需要赔偿由此对甲方造成的直接损失。</w:t>
      </w:r>
    </w:p>
    <w:p>
      <w:pPr>
        <w:topLinePunct/>
        <w:spacing w:line="360" w:lineRule="auto"/>
        <w:ind w:firstLine="420" w:firstLineChars="175"/>
        <w:rPr>
          <w:rFonts w:ascii="宋体" w:hAnsi="宋体"/>
          <w:color w:val="000000"/>
        </w:rPr>
      </w:pPr>
      <w:r>
        <w:rPr>
          <w:rFonts w:hint="eastAsia" w:ascii="宋体" w:hAnsi="宋体"/>
          <w:color w:val="000000"/>
        </w:rPr>
        <w:t>9、乙方应派遣有经验的专业技术人员到甲方执行现场踏勘、</w:t>
      </w:r>
      <w:r>
        <w:rPr>
          <w:rFonts w:hint="eastAsia" w:ascii="宋体" w:hAnsi="宋体"/>
          <w:color w:val="000000"/>
          <w:szCs w:val="24"/>
        </w:rPr>
        <w:t>检测鉴定</w:t>
      </w:r>
      <w:r>
        <w:rPr>
          <w:rFonts w:hint="eastAsia" w:ascii="宋体" w:hAnsi="宋体"/>
          <w:color w:val="000000"/>
        </w:rPr>
        <w:t>及其他甲方指定的相关任务，应向甲方出具相应人员的资质证明材料并经甲方审核通过，以证明乙方派遣的工作人员有能力承担此项工作，如涉及特种作业人员必须符合国家有关管理规定和要求。</w:t>
      </w:r>
    </w:p>
    <w:p>
      <w:pPr>
        <w:topLinePunct/>
        <w:spacing w:line="360" w:lineRule="auto"/>
        <w:ind w:firstLine="420" w:firstLineChars="175"/>
        <w:rPr>
          <w:rFonts w:ascii="宋体" w:hAnsi="宋体"/>
          <w:color w:val="000000"/>
        </w:rPr>
      </w:pPr>
      <w:r>
        <w:rPr>
          <w:rFonts w:hint="eastAsia" w:ascii="宋体" w:hAnsi="宋体"/>
          <w:color w:val="000000"/>
        </w:rPr>
        <w:t>11、乙方在工作中</w:t>
      </w:r>
      <w:r>
        <w:rPr>
          <w:rFonts w:ascii="宋体" w:hAnsi="宋体"/>
          <w:color w:val="000000"/>
        </w:rPr>
        <w:t>所有的</w:t>
      </w:r>
      <w:r>
        <w:rPr>
          <w:rFonts w:hint="eastAsia" w:ascii="宋体" w:hAnsi="宋体"/>
          <w:color w:val="000000"/>
        </w:rPr>
        <w:t>需要使用的工程车辆、</w:t>
      </w:r>
      <w:r>
        <w:rPr>
          <w:rFonts w:ascii="宋体" w:hAnsi="宋体"/>
          <w:color w:val="000000"/>
        </w:rPr>
        <w:t>机械、机具、工器具均由乙方自行解决，现场</w:t>
      </w:r>
      <w:r>
        <w:rPr>
          <w:rFonts w:hint="eastAsia" w:ascii="宋体" w:hAnsi="宋体"/>
          <w:color w:val="000000"/>
        </w:rPr>
        <w:t>工作如需</w:t>
      </w:r>
      <w:r>
        <w:rPr>
          <w:rFonts w:ascii="宋体" w:hAnsi="宋体"/>
          <w:color w:val="000000"/>
        </w:rPr>
        <w:t>水源、电源、气源</w:t>
      </w:r>
      <w:r>
        <w:rPr>
          <w:rFonts w:hint="eastAsia" w:ascii="宋体" w:hAnsi="宋体"/>
          <w:color w:val="000000"/>
        </w:rPr>
        <w:t>，其</w:t>
      </w:r>
      <w:r>
        <w:rPr>
          <w:rFonts w:ascii="宋体" w:hAnsi="宋体"/>
          <w:color w:val="000000"/>
        </w:rPr>
        <w:t>的引接工作由乙方负责</w:t>
      </w:r>
      <w:r>
        <w:rPr>
          <w:rFonts w:hint="eastAsia" w:ascii="宋体" w:hAnsi="宋体"/>
          <w:color w:val="000000"/>
        </w:rPr>
        <w:t>，由此产生的</w:t>
      </w:r>
      <w:r>
        <w:rPr>
          <w:rFonts w:ascii="宋体" w:hAnsi="宋体"/>
          <w:color w:val="000000"/>
        </w:rPr>
        <w:t>水费、电费由</w:t>
      </w:r>
      <w:r>
        <w:rPr>
          <w:rFonts w:hint="eastAsia" w:ascii="宋体" w:hAnsi="宋体"/>
          <w:color w:val="000000"/>
        </w:rPr>
        <w:t>乙方自行</w:t>
      </w:r>
      <w:r>
        <w:rPr>
          <w:rFonts w:ascii="宋体" w:hAnsi="宋体"/>
          <w:color w:val="000000"/>
        </w:rPr>
        <w:t>承担。</w:t>
      </w:r>
    </w:p>
    <w:p>
      <w:pPr>
        <w:topLinePunct/>
        <w:spacing w:line="360" w:lineRule="auto"/>
        <w:ind w:firstLine="420" w:firstLineChars="175"/>
        <w:rPr>
          <w:rFonts w:ascii="宋体" w:hAnsi="宋体"/>
          <w:color w:val="000000"/>
          <w:szCs w:val="24"/>
        </w:rPr>
      </w:pPr>
      <w:r>
        <w:rPr>
          <w:rFonts w:hint="eastAsia" w:ascii="宋体" w:hAnsi="宋体"/>
          <w:color w:val="000000"/>
        </w:rPr>
        <w:t>12、</w:t>
      </w:r>
      <w:r>
        <w:rPr>
          <w:rFonts w:ascii="宋体" w:hAnsi="宋体"/>
          <w:color w:val="000000"/>
          <w:szCs w:val="24"/>
        </w:rPr>
        <w:t>乙方人员的</w:t>
      </w:r>
      <w:r>
        <w:rPr>
          <w:rFonts w:hint="eastAsia" w:ascii="宋体" w:hAnsi="宋体"/>
          <w:color w:val="000000"/>
          <w:szCs w:val="24"/>
        </w:rPr>
        <w:t>相关费用（包括但不限于</w:t>
      </w:r>
      <w:r>
        <w:rPr>
          <w:rFonts w:ascii="宋体" w:hAnsi="宋体"/>
          <w:color w:val="000000"/>
          <w:szCs w:val="24"/>
        </w:rPr>
        <w:t>食宿、交通、通讯</w:t>
      </w:r>
      <w:r>
        <w:rPr>
          <w:rFonts w:hint="eastAsia" w:ascii="宋体" w:hAnsi="宋体"/>
          <w:color w:val="000000"/>
          <w:szCs w:val="24"/>
        </w:rPr>
        <w:t>、办理各类保险</w:t>
      </w:r>
      <w:r>
        <w:rPr>
          <w:rFonts w:ascii="宋体" w:hAnsi="宋体"/>
          <w:color w:val="000000"/>
          <w:szCs w:val="24"/>
        </w:rPr>
        <w:t>等</w:t>
      </w:r>
      <w:r>
        <w:rPr>
          <w:rFonts w:hint="eastAsia" w:ascii="宋体" w:hAnsi="宋体"/>
          <w:color w:val="000000"/>
          <w:szCs w:val="24"/>
        </w:rPr>
        <w:t>）</w:t>
      </w:r>
      <w:r>
        <w:rPr>
          <w:rFonts w:ascii="宋体" w:hAnsi="宋体"/>
          <w:color w:val="000000"/>
          <w:szCs w:val="24"/>
        </w:rPr>
        <w:t>均由乙方自理。</w:t>
      </w:r>
    </w:p>
    <w:p>
      <w:pPr>
        <w:topLinePunct/>
        <w:spacing w:line="360" w:lineRule="auto"/>
        <w:ind w:firstLine="420" w:firstLineChars="175"/>
        <w:rPr>
          <w:rFonts w:ascii="宋体" w:hAnsi="宋体"/>
          <w:color w:val="000000"/>
          <w:szCs w:val="24"/>
        </w:rPr>
      </w:pPr>
      <w:r>
        <w:rPr>
          <w:rFonts w:hint="eastAsia" w:ascii="宋体" w:hAnsi="宋体"/>
          <w:color w:val="000000"/>
          <w:szCs w:val="24"/>
        </w:rPr>
        <w:t>13、</w:t>
      </w:r>
      <w:r>
        <w:rPr>
          <w:rFonts w:ascii="宋体" w:hAnsi="宋体"/>
          <w:color w:val="000000"/>
        </w:rPr>
        <w:t>乙方自行负责按照规定配备</w:t>
      </w:r>
      <w:r>
        <w:rPr>
          <w:rFonts w:ascii="宋体" w:hAnsi="宋体"/>
          <w:color w:val="000000"/>
          <w:szCs w:val="24"/>
        </w:rPr>
        <w:t>人员所需的劳保用品、职业病防护用品</w:t>
      </w:r>
      <w:r>
        <w:rPr>
          <w:rFonts w:hint="eastAsia" w:ascii="宋体" w:hAnsi="宋体"/>
          <w:color w:val="000000"/>
          <w:szCs w:val="24"/>
        </w:rPr>
        <w:t>、安全防护用品</w:t>
      </w:r>
      <w:r>
        <w:rPr>
          <w:rFonts w:ascii="宋体" w:hAnsi="宋体"/>
          <w:color w:val="000000"/>
          <w:szCs w:val="24"/>
        </w:rPr>
        <w:t>，做好各项防护措施。</w:t>
      </w:r>
    </w:p>
    <w:p>
      <w:pPr>
        <w:topLinePunct/>
        <w:spacing w:line="360" w:lineRule="auto"/>
        <w:ind w:firstLine="420" w:firstLineChars="175"/>
        <w:rPr>
          <w:rFonts w:ascii="宋体" w:hAnsi="宋体"/>
          <w:color w:val="000000"/>
        </w:rPr>
      </w:pPr>
      <w:r>
        <w:rPr>
          <w:rFonts w:hint="eastAsia" w:ascii="宋体" w:hAnsi="宋体"/>
          <w:color w:val="000000"/>
          <w:szCs w:val="24"/>
        </w:rPr>
        <w:t>14、乙方应当保守工作中接触到的甲方商业秘密, 不得对所涉及的关键生产数据、技术资料、数据、图像、成果等向外泄漏、发表或转让。</w:t>
      </w:r>
    </w:p>
    <w:p>
      <w:pPr>
        <w:topLinePunct/>
        <w:spacing w:line="360" w:lineRule="auto"/>
        <w:ind w:firstLine="420" w:firstLineChars="175"/>
        <w:rPr>
          <w:rFonts w:ascii="宋体" w:hAnsi="宋体"/>
          <w:color w:val="000000"/>
        </w:rPr>
      </w:pPr>
      <w:r>
        <w:rPr>
          <w:rFonts w:hint="eastAsia" w:ascii="宋体" w:hAnsi="宋体"/>
          <w:color w:val="000000"/>
          <w:szCs w:val="24"/>
        </w:rPr>
        <w:t>15、在合同有效期间，乙方承诺按照甲方内控的要求进行工作，允许甲方对其内控执行情况进行检查和审计。</w:t>
      </w:r>
    </w:p>
    <w:p>
      <w:pPr>
        <w:topLinePunct/>
        <w:adjustRightInd/>
        <w:spacing w:line="360" w:lineRule="auto"/>
        <w:ind w:firstLine="420" w:firstLineChars="175"/>
        <w:rPr>
          <w:rFonts w:ascii="宋体" w:hAnsi="宋体"/>
          <w:color w:val="000000"/>
          <w:szCs w:val="24"/>
        </w:rPr>
      </w:pPr>
      <w:r>
        <w:rPr>
          <w:rFonts w:hint="eastAsia" w:ascii="宋体" w:hAnsi="宋体"/>
          <w:color w:val="000000"/>
        </w:rPr>
        <w:t>16、</w:t>
      </w:r>
      <w:r>
        <w:rPr>
          <w:rFonts w:hint="eastAsia" w:ascii="宋体" w:hAnsi="宋体"/>
          <w:color w:val="000000"/>
          <w:szCs w:val="24"/>
        </w:rPr>
        <w:t>技术规范书中的其他约定</w:t>
      </w:r>
    </w:p>
    <w:p>
      <w:pPr>
        <w:spacing w:line="360" w:lineRule="auto"/>
        <w:ind w:firstLine="482"/>
        <w:rPr>
          <w:rFonts w:ascii="宋体" w:hAnsi="宋体"/>
          <w:b/>
          <w:bCs/>
        </w:rPr>
      </w:pPr>
      <w:r>
        <w:rPr>
          <w:rFonts w:hint="eastAsia" w:ascii="宋体" w:hAnsi="宋体"/>
          <w:b/>
          <w:bCs/>
        </w:rPr>
        <w:t>五、对乙方的要求</w:t>
      </w:r>
    </w:p>
    <w:p>
      <w:pPr>
        <w:spacing w:line="360" w:lineRule="auto"/>
        <w:ind w:firstLine="480"/>
        <w:rPr>
          <w:rFonts w:ascii="宋体" w:hAnsi="宋体"/>
        </w:rPr>
      </w:pPr>
      <w:r>
        <w:rPr>
          <w:rFonts w:hint="eastAsia" w:ascii="宋体" w:hAnsi="宋体"/>
        </w:rPr>
        <w:t>工资支付及保险福利待遇　</w:t>
      </w:r>
    </w:p>
    <w:p>
      <w:pPr>
        <w:spacing w:line="360" w:lineRule="auto"/>
        <w:ind w:firstLine="480"/>
        <w:rPr>
          <w:rFonts w:ascii="宋体" w:hAnsi="宋体"/>
        </w:rPr>
      </w:pPr>
      <w:r>
        <w:rPr>
          <w:rFonts w:hint="eastAsia" w:ascii="宋体" w:hAnsi="宋体"/>
        </w:rPr>
        <w:t>1、甲方有权监督乙方合同款的使用情况。乙方应严格执行《保障农民工工资支付条例》，按时支付员工工资，如拖欠员工工资，甲方有权根据国家法律法规采取相关措施，包括但不限于在欠付乙方合同款的范围内，直接支付员工工资。</w:t>
      </w:r>
    </w:p>
    <w:p>
      <w:pPr>
        <w:spacing w:line="360" w:lineRule="auto"/>
        <w:ind w:firstLine="480"/>
        <w:rPr>
          <w:rFonts w:ascii="宋体" w:hAnsi="宋体"/>
        </w:rPr>
      </w:pPr>
      <w:r>
        <w:rPr>
          <w:rFonts w:hint="eastAsia" w:ascii="宋体" w:hAnsi="宋体"/>
        </w:rPr>
        <w:t>2、乙方应按国家和省市社会保险的有关规定为员工办理工伤保险等各种社会保险（包括但不限于“五险一金”中的五险），并承担全部与之相关事宜的责任。　　</w:t>
      </w:r>
    </w:p>
    <w:p>
      <w:pPr>
        <w:spacing w:line="360" w:lineRule="auto"/>
        <w:ind w:firstLine="480"/>
        <w:rPr>
          <w:rFonts w:ascii="宋体" w:hAnsi="宋体"/>
        </w:rPr>
      </w:pPr>
      <w:r>
        <w:rPr>
          <w:rFonts w:hint="eastAsia" w:ascii="宋体" w:hAnsi="宋体"/>
        </w:rPr>
        <w:t>3、甲方有权审核乙方人员出勤情况、乙方人员的工资发放情况、社会保险缴费情况。</w:t>
      </w:r>
    </w:p>
    <w:p>
      <w:pPr>
        <w:spacing w:line="360" w:lineRule="auto"/>
        <w:ind w:firstLine="480"/>
        <w:rPr>
          <w:rFonts w:ascii="宋体" w:hAnsi="宋体"/>
        </w:rPr>
      </w:pPr>
      <w:r>
        <w:rPr>
          <w:rFonts w:hint="eastAsia" w:ascii="宋体" w:hAnsi="宋体"/>
        </w:rPr>
        <w:t>4、乙方人员在工作期间出现劳动争议、人身伤害、医疗救助等，由乙方依照相关法律、法规进行处理。由此给甲方造成损失的，甲方有权在乙方合同总款中予以扣除。</w:t>
      </w:r>
    </w:p>
    <w:p>
      <w:pPr>
        <w:pStyle w:val="101"/>
        <w:topLinePunct/>
        <w:spacing w:after="0" w:line="360" w:lineRule="auto"/>
        <w:ind w:firstLine="422" w:firstLineChars="175"/>
        <w:rPr>
          <w:rFonts w:hint="default" w:hAnsi="宋体"/>
          <w:b/>
          <w:sz w:val="24"/>
          <w:szCs w:val="24"/>
          <w:shd w:val="clear" w:color="auto" w:fill="FFFFFF"/>
        </w:rPr>
      </w:pPr>
      <w:r>
        <w:rPr>
          <w:rFonts w:hAnsi="宋体"/>
          <w:b/>
          <w:sz w:val="24"/>
          <w:szCs w:val="24"/>
          <w:shd w:val="clear" w:color="auto" w:fill="FFFFFF"/>
        </w:rPr>
        <w:t>六、考核条款</w:t>
      </w:r>
    </w:p>
    <w:p>
      <w:pPr>
        <w:spacing w:line="360" w:lineRule="auto"/>
        <w:ind w:firstLine="480"/>
        <w:rPr>
          <w:rFonts w:ascii="宋体" w:hAnsi="宋体"/>
        </w:rPr>
      </w:pPr>
      <w:r>
        <w:rPr>
          <w:rFonts w:hint="eastAsia" w:ascii="宋体" w:hAnsi="宋体"/>
        </w:rPr>
        <w:t>1、乙方违反合同规定造成损失的应承担违约责任；</w:t>
      </w:r>
      <w:r>
        <w:rPr>
          <w:rFonts w:hint="eastAsia" w:ascii="宋体" w:hAnsi="宋体"/>
        </w:rPr>
        <w:cr/>
      </w:r>
      <w:r>
        <w:rPr>
          <w:rFonts w:hint="eastAsia" w:ascii="宋体" w:hAnsi="宋体"/>
        </w:rPr>
        <w:t xml:space="preserve">    2、安全考核：</w:t>
      </w:r>
    </w:p>
    <w:p>
      <w:pPr>
        <w:spacing w:line="360" w:lineRule="auto"/>
        <w:ind w:firstLine="480"/>
        <w:rPr>
          <w:rFonts w:ascii="宋体" w:hAnsi="宋体"/>
        </w:rPr>
      </w:pPr>
      <w:r>
        <w:rPr>
          <w:rFonts w:hint="eastAsia" w:ascii="宋体" w:hAnsi="宋体"/>
        </w:rPr>
        <w:t>2</w:t>
      </w:r>
      <w:r>
        <w:rPr>
          <w:rFonts w:ascii="宋体" w:hAnsi="宋体"/>
        </w:rPr>
        <w:t>.1</w:t>
      </w:r>
      <w:r>
        <w:rPr>
          <w:rFonts w:hint="eastAsia" w:ascii="宋体" w:hAnsi="宋体"/>
        </w:rPr>
        <w:t>人身伤害事故，每发生</w:t>
      </w:r>
      <w:r>
        <w:rPr>
          <w:rFonts w:ascii="宋体" w:hAnsi="宋体"/>
        </w:rPr>
        <w:t>1</w:t>
      </w:r>
      <w:r>
        <w:rPr>
          <w:rFonts w:hint="eastAsia" w:ascii="宋体" w:hAnsi="宋体"/>
        </w:rPr>
        <w:t>次按下列标准扣罚：</w:t>
      </w:r>
    </w:p>
    <w:p>
      <w:pPr>
        <w:spacing w:line="360" w:lineRule="auto"/>
        <w:ind w:firstLine="480"/>
        <w:rPr>
          <w:rFonts w:ascii="宋体" w:hAnsi="宋体"/>
        </w:rPr>
      </w:pPr>
      <w:r>
        <w:rPr>
          <w:rFonts w:hint="eastAsia" w:ascii="宋体" w:hAnsi="宋体"/>
        </w:rPr>
        <w:t>死亡：扣罚全部工程款，且不低于上级考核数。</w:t>
      </w:r>
    </w:p>
    <w:p>
      <w:pPr>
        <w:spacing w:line="360" w:lineRule="auto"/>
        <w:ind w:firstLine="480"/>
        <w:rPr>
          <w:rFonts w:ascii="宋体" w:hAnsi="宋体"/>
        </w:rPr>
      </w:pPr>
      <w:r>
        <w:rPr>
          <w:rFonts w:hint="eastAsia" w:ascii="宋体" w:hAnsi="宋体"/>
        </w:rPr>
        <w:t>重伤：每重伤</w:t>
      </w:r>
      <w:r>
        <w:rPr>
          <w:rFonts w:ascii="宋体" w:hAnsi="宋体"/>
        </w:rPr>
        <w:t>1</w:t>
      </w:r>
      <w:r>
        <w:rPr>
          <w:rFonts w:hint="eastAsia" w:ascii="宋体" w:hAnsi="宋体"/>
        </w:rPr>
        <w:t>人扣罚</w:t>
      </w:r>
      <w:r>
        <w:rPr>
          <w:rFonts w:ascii="宋体" w:hAnsi="宋体"/>
        </w:rPr>
        <w:t>10</w:t>
      </w:r>
      <w:r>
        <w:rPr>
          <w:rFonts w:hint="eastAsia" w:ascii="宋体" w:hAnsi="宋体"/>
        </w:rPr>
        <w:t>万元工程款，且不低于上级考核数。</w:t>
      </w:r>
    </w:p>
    <w:p>
      <w:pPr>
        <w:spacing w:line="360" w:lineRule="auto"/>
        <w:ind w:firstLine="480"/>
        <w:rPr>
          <w:rFonts w:ascii="宋体" w:hAnsi="宋体"/>
        </w:rPr>
      </w:pPr>
      <w:r>
        <w:rPr>
          <w:rFonts w:hint="eastAsia" w:ascii="宋体" w:hAnsi="宋体"/>
        </w:rPr>
        <w:t>轻伤：每轻伤</w:t>
      </w:r>
      <w:r>
        <w:rPr>
          <w:rFonts w:ascii="宋体" w:hAnsi="宋体"/>
        </w:rPr>
        <w:t>1</w:t>
      </w:r>
      <w:r>
        <w:rPr>
          <w:rFonts w:hint="eastAsia" w:ascii="宋体" w:hAnsi="宋体"/>
        </w:rPr>
        <w:t>人扣罚</w:t>
      </w:r>
      <w:r>
        <w:rPr>
          <w:rFonts w:ascii="宋体" w:hAnsi="宋体"/>
        </w:rPr>
        <w:t>5</w:t>
      </w:r>
      <w:r>
        <w:rPr>
          <w:rFonts w:hint="eastAsia" w:ascii="宋体" w:hAnsi="宋体"/>
        </w:rPr>
        <w:t>万元工程款。</w:t>
      </w:r>
    </w:p>
    <w:p>
      <w:pPr>
        <w:spacing w:line="360" w:lineRule="auto"/>
        <w:ind w:firstLine="480"/>
        <w:rPr>
          <w:rFonts w:ascii="宋体" w:hAnsi="宋体"/>
        </w:rPr>
      </w:pPr>
      <w:r>
        <w:rPr>
          <w:rFonts w:hint="eastAsia" w:ascii="宋体" w:hAnsi="宋体"/>
        </w:rPr>
        <w:t>2</w:t>
      </w:r>
      <w:r>
        <w:rPr>
          <w:rFonts w:ascii="宋体" w:hAnsi="宋体"/>
        </w:rPr>
        <w:t>.2</w:t>
      </w:r>
      <w:r>
        <w:rPr>
          <w:rFonts w:hint="eastAsia" w:ascii="宋体" w:hAnsi="宋体"/>
        </w:rPr>
        <w:t>发生乙方负有责任的交通事故（含厂内），每发生</w:t>
      </w:r>
      <w:r>
        <w:rPr>
          <w:rFonts w:ascii="宋体" w:hAnsi="宋体"/>
        </w:rPr>
        <w:t>1</w:t>
      </w:r>
      <w:r>
        <w:rPr>
          <w:rFonts w:hint="eastAsia" w:ascii="宋体" w:hAnsi="宋体"/>
        </w:rPr>
        <w:t>次按照下列标准扣罚：</w:t>
      </w:r>
    </w:p>
    <w:p>
      <w:pPr>
        <w:spacing w:line="360" w:lineRule="auto"/>
        <w:ind w:firstLine="480"/>
        <w:rPr>
          <w:rFonts w:ascii="宋体" w:hAnsi="宋体"/>
        </w:rPr>
      </w:pPr>
      <w:r>
        <w:rPr>
          <w:rFonts w:hint="eastAsia" w:ascii="宋体" w:hAnsi="宋体"/>
        </w:rPr>
        <w:t>交通伤亡事故：扣罚全部工程款，且不低于上级考核数。</w:t>
      </w:r>
    </w:p>
    <w:p>
      <w:pPr>
        <w:spacing w:line="360" w:lineRule="auto"/>
        <w:ind w:firstLine="480"/>
        <w:rPr>
          <w:rFonts w:ascii="宋体" w:hAnsi="宋体"/>
        </w:rPr>
      </w:pPr>
      <w:r>
        <w:rPr>
          <w:rFonts w:hint="eastAsia" w:ascii="宋体" w:hAnsi="宋体"/>
        </w:rPr>
        <w:t>重伤：每重伤</w:t>
      </w:r>
      <w:r>
        <w:rPr>
          <w:rFonts w:ascii="宋体" w:hAnsi="宋体"/>
        </w:rPr>
        <w:t>1</w:t>
      </w:r>
      <w:r>
        <w:rPr>
          <w:rFonts w:hint="eastAsia" w:ascii="宋体" w:hAnsi="宋体"/>
        </w:rPr>
        <w:t>人扣罚</w:t>
      </w:r>
      <w:r>
        <w:rPr>
          <w:rFonts w:ascii="宋体" w:hAnsi="宋体"/>
        </w:rPr>
        <w:t>10</w:t>
      </w:r>
      <w:r>
        <w:rPr>
          <w:rFonts w:hint="eastAsia" w:ascii="宋体" w:hAnsi="宋体"/>
        </w:rPr>
        <w:t>万；</w:t>
      </w:r>
    </w:p>
    <w:p>
      <w:pPr>
        <w:spacing w:line="360" w:lineRule="auto"/>
        <w:ind w:firstLine="480"/>
        <w:rPr>
          <w:rFonts w:ascii="宋体" w:hAnsi="宋体"/>
        </w:rPr>
      </w:pPr>
      <w:r>
        <w:rPr>
          <w:rFonts w:hint="eastAsia" w:ascii="宋体" w:hAnsi="宋体"/>
        </w:rPr>
        <w:t>轻伤：每轻伤</w:t>
      </w:r>
      <w:r>
        <w:rPr>
          <w:rFonts w:ascii="宋体" w:hAnsi="宋体"/>
        </w:rPr>
        <w:t>1</w:t>
      </w:r>
      <w:r>
        <w:rPr>
          <w:rFonts w:hint="eastAsia" w:ascii="宋体" w:hAnsi="宋体"/>
        </w:rPr>
        <w:t>人，扣罚</w:t>
      </w:r>
      <w:r>
        <w:rPr>
          <w:rFonts w:ascii="宋体" w:hAnsi="宋体"/>
        </w:rPr>
        <w:t>5</w:t>
      </w:r>
      <w:r>
        <w:rPr>
          <w:rFonts w:hint="eastAsia" w:ascii="宋体" w:hAnsi="宋体"/>
        </w:rPr>
        <w:t>万元。</w:t>
      </w:r>
    </w:p>
    <w:p>
      <w:pPr>
        <w:spacing w:line="360" w:lineRule="auto"/>
        <w:ind w:firstLine="480"/>
        <w:rPr>
          <w:rFonts w:ascii="宋体" w:hAnsi="宋体"/>
        </w:rPr>
      </w:pPr>
      <w:r>
        <w:rPr>
          <w:rFonts w:hint="eastAsia" w:ascii="宋体" w:hAnsi="宋体"/>
        </w:rPr>
        <w:t>2</w:t>
      </w:r>
      <w:r>
        <w:rPr>
          <w:rFonts w:ascii="宋体" w:hAnsi="宋体"/>
        </w:rPr>
        <w:t>.3</w:t>
      </w:r>
      <w:r>
        <w:rPr>
          <w:rFonts w:hint="eastAsia" w:ascii="宋体" w:hAnsi="宋体"/>
        </w:rPr>
        <w:t>乙方负有责任的设备事故考核</w:t>
      </w:r>
    </w:p>
    <w:p>
      <w:pPr>
        <w:spacing w:line="360" w:lineRule="auto"/>
        <w:ind w:firstLine="480"/>
        <w:rPr>
          <w:rFonts w:ascii="宋体" w:hAnsi="宋体"/>
        </w:rPr>
      </w:pPr>
      <w:r>
        <w:rPr>
          <w:rFonts w:hint="eastAsia" w:ascii="宋体" w:hAnsi="宋体"/>
        </w:rPr>
        <w:t>较大设备事故：扣罚全部工程款，且不低于上级考核数</w:t>
      </w:r>
      <w:r>
        <w:rPr>
          <w:rFonts w:ascii="宋体" w:hAnsi="宋体"/>
        </w:rPr>
        <w:t>.</w:t>
      </w:r>
    </w:p>
    <w:p>
      <w:pPr>
        <w:spacing w:line="360" w:lineRule="auto"/>
        <w:ind w:firstLine="480"/>
        <w:rPr>
          <w:rFonts w:ascii="宋体" w:hAnsi="宋体"/>
        </w:rPr>
      </w:pPr>
      <w:r>
        <w:rPr>
          <w:rFonts w:hint="eastAsia" w:ascii="宋体" w:hAnsi="宋体"/>
        </w:rPr>
        <w:t>一般设备事故：扣罚</w:t>
      </w:r>
      <w:r>
        <w:rPr>
          <w:rFonts w:ascii="宋体" w:hAnsi="宋体"/>
        </w:rPr>
        <w:t xml:space="preserve">10% </w:t>
      </w:r>
      <w:r>
        <w:rPr>
          <w:rFonts w:hint="eastAsia" w:ascii="宋体" w:hAnsi="宋体"/>
        </w:rPr>
        <w:t>～</w:t>
      </w:r>
      <w:r>
        <w:rPr>
          <w:rFonts w:ascii="宋体" w:hAnsi="宋体"/>
        </w:rPr>
        <w:t xml:space="preserve"> 50%</w:t>
      </w:r>
      <w:r>
        <w:rPr>
          <w:rFonts w:hint="eastAsia" w:ascii="宋体" w:hAnsi="宋体"/>
        </w:rPr>
        <w:t>工程款，重复发生加倍考核。</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其它安全考核条款</w:t>
      </w:r>
    </w:p>
    <w:p>
      <w:pPr>
        <w:spacing w:line="360" w:lineRule="auto"/>
        <w:ind w:firstLine="480"/>
        <w:rPr>
          <w:rFonts w:ascii="宋体" w:hAnsi="宋体"/>
        </w:rPr>
      </w:pPr>
      <w:r>
        <w:rPr>
          <w:rFonts w:hint="eastAsia" w:ascii="宋体" w:hAnsi="宋体"/>
        </w:rPr>
        <w:t>2</w:t>
      </w:r>
      <w:r>
        <w:rPr>
          <w:rFonts w:ascii="宋体" w:hAnsi="宋体"/>
        </w:rPr>
        <w:t>.4.1</w:t>
      </w:r>
      <w:r>
        <w:rPr>
          <w:rFonts w:hint="eastAsia" w:ascii="宋体" w:hAnsi="宋体"/>
        </w:rPr>
        <w:t>未对员工进行安全教育，进入施工现场作业的。要求立即退出施工现场，每人次扣罚</w:t>
      </w:r>
      <w:r>
        <w:rPr>
          <w:rFonts w:ascii="宋体" w:hAnsi="宋体"/>
        </w:rPr>
        <w:t>5000</w:t>
      </w:r>
      <w:r>
        <w:rPr>
          <w:rFonts w:hint="eastAsia" w:ascii="宋体" w:hAnsi="宋体"/>
        </w:rPr>
        <w:t>元。</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2发生高空作业不系安全带、特殊工种（起重、焊接、电工、驾驶等）人员不持证上岗等违反甲方五条红线情况，每人次扣罚</w:t>
      </w:r>
      <w:r>
        <w:rPr>
          <w:rFonts w:ascii="宋体" w:hAnsi="宋体"/>
        </w:rPr>
        <w:t>5000</w:t>
      </w:r>
      <w:r>
        <w:rPr>
          <w:rFonts w:hint="eastAsia" w:ascii="宋体" w:hAnsi="宋体"/>
        </w:rPr>
        <w:t>元。</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3施工现场穿拖鞋、凉鞋、高跟鞋、裙子、短裤、背心、赤膊者，每人次扣罚</w:t>
      </w:r>
      <w:r>
        <w:rPr>
          <w:rFonts w:ascii="宋体" w:hAnsi="宋体"/>
        </w:rPr>
        <w:t>200</w:t>
      </w:r>
      <w:r>
        <w:rPr>
          <w:rFonts w:hint="eastAsia" w:ascii="宋体" w:hAnsi="宋体"/>
        </w:rPr>
        <w:t>元，并责令退出施工现场。</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4安全用具不符合国家规定，未经过检验，每人次扣罚</w:t>
      </w:r>
      <w:r>
        <w:rPr>
          <w:rFonts w:ascii="宋体" w:hAnsi="宋体"/>
        </w:rPr>
        <w:t>200</w:t>
      </w:r>
      <w:r>
        <w:rPr>
          <w:rFonts w:hint="eastAsia" w:ascii="宋体" w:hAnsi="宋体"/>
        </w:rPr>
        <w:t>元。</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5因施工需要拆除的楼梯、栏杆、平台，必须有可靠的临时防护设施，否则，每处扣罚</w:t>
      </w:r>
      <w:r>
        <w:rPr>
          <w:rFonts w:ascii="宋体" w:hAnsi="宋体"/>
        </w:rPr>
        <w:t>500</w:t>
      </w:r>
      <w:r>
        <w:rPr>
          <w:rFonts w:hint="eastAsia" w:ascii="宋体" w:hAnsi="宋体"/>
        </w:rPr>
        <w:t>元；无安全标示牌、警告牌，每处扣罚</w:t>
      </w:r>
      <w:r>
        <w:rPr>
          <w:rFonts w:ascii="宋体" w:hAnsi="宋体"/>
        </w:rPr>
        <w:t>200</w:t>
      </w:r>
      <w:r>
        <w:rPr>
          <w:rFonts w:hint="eastAsia" w:ascii="宋体" w:hAnsi="宋体"/>
        </w:rPr>
        <w:t>元</w:t>
      </w:r>
      <w:r>
        <w:rPr>
          <w:rFonts w:ascii="宋体" w:hAnsi="宋体"/>
        </w:rPr>
        <w:t>(</w:t>
      </w:r>
      <w:r>
        <w:rPr>
          <w:rFonts w:hint="eastAsia" w:ascii="宋体" w:hAnsi="宋体"/>
        </w:rPr>
        <w:t>特别是高处作业区、危险作业区等</w:t>
      </w:r>
      <w:r>
        <w:rPr>
          <w:rFonts w:ascii="宋体" w:hAnsi="宋体"/>
        </w:rPr>
        <w:t>)</w:t>
      </w:r>
      <w:r>
        <w:rPr>
          <w:rFonts w:hint="eastAsia" w:ascii="宋体" w:hAnsi="宋体"/>
        </w:rPr>
        <w:t>。</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6施工现场临时围栏，无警告标志，每处扣罚</w:t>
      </w:r>
      <w:r>
        <w:rPr>
          <w:rFonts w:ascii="宋体" w:hAnsi="宋体"/>
        </w:rPr>
        <w:t>100</w:t>
      </w:r>
      <w:r>
        <w:rPr>
          <w:rFonts w:hint="eastAsia" w:ascii="宋体" w:hAnsi="宋体"/>
        </w:rPr>
        <w:t>元。</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7现场的照明用具应符合要求，违者每处扣罚</w:t>
      </w:r>
      <w:r>
        <w:rPr>
          <w:rFonts w:ascii="宋体" w:hAnsi="宋体"/>
        </w:rPr>
        <w:t>100</w:t>
      </w:r>
      <w:r>
        <w:rPr>
          <w:rFonts w:hint="eastAsia" w:ascii="宋体" w:hAnsi="宋体"/>
        </w:rPr>
        <w:t>元。</w:t>
      </w:r>
    </w:p>
    <w:p>
      <w:pPr>
        <w:spacing w:line="360" w:lineRule="auto"/>
        <w:ind w:firstLine="480"/>
        <w:rPr>
          <w:rFonts w:ascii="宋体" w:hAnsi="宋体"/>
        </w:rPr>
      </w:pPr>
      <w:r>
        <w:rPr>
          <w:rFonts w:hint="eastAsia" w:ascii="宋体" w:hAnsi="宋体"/>
        </w:rPr>
        <w:t>2</w:t>
      </w:r>
      <w:r>
        <w:rPr>
          <w:rFonts w:ascii="宋体" w:hAnsi="宋体"/>
        </w:rPr>
        <w:t>.4.</w:t>
      </w:r>
      <w:r>
        <w:rPr>
          <w:rFonts w:hint="eastAsia" w:ascii="宋体" w:hAnsi="宋体"/>
        </w:rPr>
        <w:t>8保证安全工器具防护用具齐全、可靠、有效，符合《安规》规定的要求，有检验合格证。否则每件扣罚</w:t>
      </w:r>
      <w:r>
        <w:rPr>
          <w:rFonts w:ascii="宋体" w:hAnsi="宋体"/>
        </w:rPr>
        <w:t>100</w:t>
      </w:r>
      <w:r>
        <w:rPr>
          <w:rFonts w:hint="eastAsia" w:ascii="宋体" w:hAnsi="宋体"/>
        </w:rPr>
        <w:t>元。</w:t>
      </w:r>
    </w:p>
    <w:p>
      <w:pPr>
        <w:pStyle w:val="101"/>
        <w:topLinePunct/>
        <w:spacing w:after="0" w:line="360" w:lineRule="auto"/>
        <w:ind w:firstLine="422" w:firstLineChars="175"/>
        <w:rPr>
          <w:rFonts w:hint="default" w:hAnsi="宋体"/>
          <w:b/>
          <w:sz w:val="24"/>
          <w:szCs w:val="24"/>
          <w:highlight w:val="none"/>
          <w:shd w:val="clear" w:color="auto" w:fill="FFFFFF"/>
        </w:rPr>
      </w:pPr>
      <w:r>
        <w:rPr>
          <w:rFonts w:hAnsi="宋体"/>
          <w:b/>
          <w:sz w:val="24"/>
          <w:szCs w:val="24"/>
          <w:highlight w:val="none"/>
          <w:shd w:val="clear" w:color="auto" w:fill="FFFFFF"/>
        </w:rPr>
        <w:t>七、合同价款</w:t>
      </w:r>
    </w:p>
    <w:p>
      <w:pPr>
        <w:overflowPunct w:val="0"/>
        <w:autoSpaceDE w:val="0"/>
        <w:autoSpaceDN w:val="0"/>
        <w:spacing w:line="360" w:lineRule="auto"/>
        <w:ind w:firstLine="480"/>
        <w:rPr>
          <w:rFonts w:ascii="宋体" w:hAnsi="宋体"/>
        </w:rPr>
      </w:pPr>
      <w:r>
        <w:rPr>
          <w:rFonts w:ascii="宋体" w:hAnsi="宋体"/>
          <w:highlight w:val="none"/>
        </w:rPr>
        <w:t>本</w:t>
      </w:r>
      <w:r>
        <w:rPr>
          <w:rFonts w:hint="eastAsia" w:ascii="宋体" w:hAnsi="宋体"/>
          <w:highlight w:val="none"/>
        </w:rPr>
        <w:t>项目价款</w:t>
      </w:r>
      <w:r>
        <w:rPr>
          <w:rFonts w:ascii="宋体" w:hAnsi="宋体"/>
          <w:highlight w:val="none"/>
        </w:rPr>
        <w:t>总额为人民币</w:t>
      </w:r>
      <w:r>
        <w:rPr>
          <w:rFonts w:hint="eastAsia" w:ascii="宋体" w:hAnsi="宋体"/>
          <w:highlight w:val="none"/>
          <w:u w:val="single"/>
        </w:rPr>
        <w:t>（大写）</w:t>
      </w:r>
      <w:r>
        <w:rPr>
          <w:rFonts w:ascii="宋体" w:hAnsi="宋体"/>
          <w:highlight w:val="none"/>
        </w:rPr>
        <w:t>（￥元）。本</w:t>
      </w:r>
      <w:r>
        <w:rPr>
          <w:rFonts w:hint="eastAsia" w:ascii="宋体" w:hAnsi="宋体"/>
        </w:rPr>
        <w:t>项目</w:t>
      </w:r>
      <w:r>
        <w:rPr>
          <w:rFonts w:ascii="宋体" w:hAnsi="宋体"/>
        </w:rPr>
        <w:t>总价确定后，如</w:t>
      </w:r>
      <w:r>
        <w:rPr>
          <w:rFonts w:hint="eastAsia" w:ascii="宋体" w:hAnsi="宋体"/>
        </w:rPr>
        <w:t>国家政策引起增值税税率变化，合同总价要随之变更，保持净价不变，除此原因外</w:t>
      </w:r>
      <w:r>
        <w:rPr>
          <w:rFonts w:ascii="宋体" w:hAnsi="宋体"/>
        </w:rPr>
        <w:t>不再调整合同总价。本价格还包括乙方所应纳的</w:t>
      </w:r>
      <w:r>
        <w:rPr>
          <w:rFonts w:hint="eastAsia" w:ascii="宋体" w:hAnsi="宋体"/>
          <w:u w:val="single"/>
        </w:rPr>
        <w:t xml:space="preserve">   </w:t>
      </w:r>
      <w:r>
        <w:rPr>
          <w:rFonts w:hint="eastAsia" w:ascii="宋体" w:hAnsi="宋体"/>
        </w:rPr>
        <w:t>%</w:t>
      </w:r>
      <w:r>
        <w:rPr>
          <w:rFonts w:ascii="宋体" w:hAnsi="宋体"/>
        </w:rPr>
        <w:t>增值税</w:t>
      </w:r>
      <w:r>
        <w:rPr>
          <w:rFonts w:hint="eastAsia" w:ascii="宋体" w:hAnsi="宋体"/>
        </w:rPr>
        <w:t>。</w:t>
      </w:r>
    </w:p>
    <w:p>
      <w:pPr>
        <w:pStyle w:val="101"/>
        <w:topLinePunct/>
        <w:spacing w:after="0" w:line="360" w:lineRule="auto"/>
        <w:ind w:firstLine="422" w:firstLineChars="175"/>
        <w:rPr>
          <w:rFonts w:hint="default" w:hAnsi="宋体"/>
          <w:b/>
          <w:sz w:val="24"/>
          <w:szCs w:val="24"/>
          <w:shd w:val="clear" w:color="auto" w:fill="FFFFFF"/>
        </w:rPr>
      </w:pPr>
      <w:r>
        <w:rPr>
          <w:rFonts w:hAnsi="宋体"/>
          <w:b/>
          <w:sz w:val="24"/>
          <w:szCs w:val="24"/>
          <w:shd w:val="clear" w:color="auto" w:fill="FFFFFF"/>
        </w:rPr>
        <w:t>八、合同付款方式</w:t>
      </w:r>
    </w:p>
    <w:p>
      <w:pPr>
        <w:spacing w:line="360" w:lineRule="auto"/>
        <w:ind w:firstLine="566" w:firstLineChars="236"/>
        <w:rPr>
          <w:rFonts w:ascii="宋体" w:hAnsi="宋体"/>
          <w:bCs/>
          <w:color w:val="000000"/>
        </w:rPr>
      </w:pPr>
      <w:r>
        <w:rPr>
          <w:rFonts w:hint="eastAsia" w:ascii="宋体" w:hAnsi="宋体"/>
        </w:rPr>
        <w:t>本合同的付款方式为：乙方在全部</w:t>
      </w:r>
      <w:r>
        <w:rPr>
          <w:rFonts w:hint="eastAsia" w:ascii="宋体" w:hAnsi="宋体"/>
          <w:bCs/>
          <w:color w:val="000000"/>
        </w:rPr>
        <w:t>拟建设屋顶光伏项目建筑物</w:t>
      </w:r>
      <w:r>
        <w:rPr>
          <w:rFonts w:hint="eastAsia" w:ascii="宋体" w:hAnsi="宋体"/>
          <w:color w:val="000000"/>
          <w:szCs w:val="24"/>
        </w:rPr>
        <w:t>结构荷载检测鉴定完成</w:t>
      </w:r>
      <w:r>
        <w:rPr>
          <w:rFonts w:hint="eastAsia" w:ascii="宋体" w:hAnsi="宋体"/>
          <w:bCs/>
          <w:color w:val="000000"/>
        </w:rPr>
        <w:t>后</w:t>
      </w:r>
      <w:r>
        <w:rPr>
          <w:rFonts w:ascii="宋体" w:hAnsi="宋体"/>
        </w:rPr>
        <w:t>,</w:t>
      </w:r>
      <w:r>
        <w:rPr>
          <w:rFonts w:hint="eastAsia" w:ascii="宋体" w:hAnsi="宋体"/>
        </w:rPr>
        <w:t>乙方向甲方提供签字盖章确认的</w:t>
      </w:r>
      <w:r>
        <w:rPr>
          <w:rFonts w:hint="eastAsia" w:ascii="宋体" w:hAnsi="宋体"/>
          <w:bCs/>
          <w:color w:val="000000"/>
        </w:rPr>
        <w:t>建筑物</w:t>
      </w:r>
      <w:r>
        <w:rPr>
          <w:rFonts w:hint="eastAsia" w:ascii="宋体" w:hAnsi="宋体"/>
          <w:color w:val="000000"/>
          <w:szCs w:val="24"/>
        </w:rPr>
        <w:t>结构荷载检测鉴定</w:t>
      </w:r>
      <w:r>
        <w:rPr>
          <w:rFonts w:hint="eastAsia" w:ascii="宋体" w:hAnsi="宋体"/>
        </w:rPr>
        <w:t>报告（打印版）至少4份，</w:t>
      </w:r>
      <w:r>
        <w:rPr>
          <w:rFonts w:hint="eastAsia" w:asciiTheme="minorEastAsia" w:hAnsiTheme="minorEastAsia" w:eastAsiaTheme="minorEastAsia"/>
          <w:color w:val="000000" w:themeColor="text1"/>
        </w:rPr>
        <w:t>并提交报经甲方签认的项目竣工验收单</w:t>
      </w:r>
      <w:r>
        <w:rPr>
          <w:rFonts w:asciiTheme="minorEastAsia" w:hAnsiTheme="minorEastAsia" w:eastAsiaTheme="minorEastAsia"/>
          <w:color w:val="000000" w:themeColor="text1"/>
        </w:rPr>
        <w:t>,</w:t>
      </w:r>
      <w:r>
        <w:rPr>
          <w:rFonts w:hint="eastAsia" w:asciiTheme="minorEastAsia" w:hAnsiTheme="minorEastAsia" w:eastAsiaTheme="minorEastAsia"/>
          <w:color w:val="000000" w:themeColor="text1"/>
        </w:rPr>
        <w:t>并经甲方签字确认后</w:t>
      </w:r>
      <w:r>
        <w:rPr>
          <w:rFonts w:asciiTheme="minorEastAsia" w:hAnsiTheme="minorEastAsia" w:eastAsiaTheme="minorEastAsia"/>
          <w:color w:val="000000" w:themeColor="text1"/>
        </w:rPr>
        <w:t>,</w:t>
      </w:r>
      <w:r>
        <w:rPr>
          <w:rFonts w:hint="eastAsia" w:asciiTheme="minorEastAsia" w:hAnsiTheme="minorEastAsia" w:eastAsiaTheme="minorEastAsia"/>
          <w:color w:val="000000" w:themeColor="text1"/>
        </w:rPr>
        <w:t>乙方向甲方提交金额为合同价格</w:t>
      </w:r>
      <w:r>
        <w:rPr>
          <w:rFonts w:asciiTheme="minorEastAsia" w:hAnsiTheme="minorEastAsia" w:eastAsiaTheme="minorEastAsia"/>
          <w:color w:val="000000" w:themeColor="text1"/>
        </w:rPr>
        <w:t>100%</w:t>
      </w:r>
      <w:r>
        <w:rPr>
          <w:rFonts w:hint="eastAsia" w:asciiTheme="minorEastAsia" w:hAnsiTheme="minorEastAsia" w:eastAsiaTheme="minorEastAsia"/>
          <w:color w:val="000000" w:themeColor="text1"/>
        </w:rPr>
        <w:t>的国家规定增值税专用发票</w:t>
      </w:r>
      <w:r>
        <w:rPr>
          <w:rFonts w:asciiTheme="minorEastAsia" w:hAnsiTheme="minorEastAsia" w:eastAsiaTheme="minorEastAsia"/>
          <w:color w:val="000000" w:themeColor="text1"/>
        </w:rPr>
        <w:t>,</w:t>
      </w:r>
      <w:r>
        <w:rPr>
          <w:rFonts w:hint="eastAsia" w:asciiTheme="minorEastAsia" w:hAnsiTheme="minorEastAsia" w:eastAsiaTheme="minorEastAsia"/>
          <w:color w:val="000000" w:themeColor="text1"/>
        </w:rPr>
        <w:t>甲方验明无误后根据财务情况向乙方支付合同总金额的</w:t>
      </w:r>
      <w:r>
        <w:rPr>
          <w:rFonts w:asciiTheme="minorEastAsia" w:hAnsiTheme="minorEastAsia" w:eastAsiaTheme="minorEastAsia"/>
          <w:color w:val="000000" w:themeColor="text1"/>
        </w:rPr>
        <w:t>100%</w:t>
      </w:r>
      <w:r>
        <w:rPr>
          <w:rFonts w:hint="eastAsia" w:asciiTheme="minorEastAsia" w:hAnsiTheme="minorEastAsia" w:eastAsiaTheme="minorEastAsia"/>
          <w:color w:val="000000" w:themeColor="text1"/>
        </w:rPr>
        <w:t>。</w:t>
      </w:r>
    </w:p>
    <w:p>
      <w:pPr>
        <w:pStyle w:val="101"/>
        <w:autoSpaceDE w:val="0"/>
        <w:autoSpaceDN w:val="0"/>
        <w:snapToGrid w:val="0"/>
        <w:ind w:firstLine="422" w:firstLineChars="175"/>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九、</w:t>
      </w:r>
      <w:r>
        <w:rPr>
          <w:rFonts w:hint="default" w:asciiTheme="minorEastAsia" w:hAnsiTheme="minorEastAsia" w:eastAsiaTheme="minorEastAsia"/>
          <w:b/>
          <w:sz w:val="24"/>
          <w:szCs w:val="24"/>
          <w:shd w:val="clear" w:color="auto" w:fill="FFFFFF"/>
        </w:rPr>
        <w:t>违约责任</w:t>
      </w:r>
    </w:p>
    <w:p>
      <w:pPr>
        <w:overflowPunct w:val="0"/>
        <w:autoSpaceDE w:val="0"/>
        <w:autoSpaceDN w:val="0"/>
        <w:spacing w:line="360" w:lineRule="auto"/>
        <w:ind w:firstLine="480"/>
        <w:rPr>
          <w:rFonts w:asciiTheme="minorEastAsia" w:hAnsiTheme="minorEastAsia" w:eastAsiaTheme="minorEastAsia"/>
          <w:color w:val="000000" w:themeColor="text1"/>
        </w:rPr>
      </w:pPr>
      <w:r>
        <w:rPr>
          <w:rFonts w:asciiTheme="minorEastAsia" w:hAnsiTheme="minorEastAsia" w:eastAsiaTheme="minorEastAsia"/>
          <w:color w:val="000000" w:themeColor="text1"/>
        </w:rPr>
        <w:t>如果由于一方违约，造成本合同</w:t>
      </w:r>
      <w:bookmarkStart w:id="111" w:name="_GoBack"/>
      <w:bookmarkEnd w:id="111"/>
      <w:r>
        <w:rPr>
          <w:rFonts w:asciiTheme="minorEastAsia" w:hAnsiTheme="minorEastAsia" w:eastAsiaTheme="minorEastAsia"/>
          <w:color w:val="000000" w:themeColor="text1"/>
        </w:rPr>
        <w:t>不能履行或不能完全履行时，由违约的一方承担违约责任；如属双方违约，根据实际情况，由双方分别承担各自应负的违约责任。</w:t>
      </w:r>
    </w:p>
    <w:p>
      <w:pPr>
        <w:pStyle w:val="101"/>
        <w:autoSpaceDE w:val="0"/>
        <w:autoSpaceDN w:val="0"/>
        <w:snapToGrid w:val="0"/>
        <w:ind w:firstLine="422" w:firstLineChars="175"/>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十、</w:t>
      </w:r>
      <w:r>
        <w:rPr>
          <w:rFonts w:hint="default" w:asciiTheme="minorEastAsia" w:hAnsiTheme="minorEastAsia" w:eastAsiaTheme="minorEastAsia"/>
          <w:b/>
          <w:sz w:val="24"/>
          <w:szCs w:val="24"/>
          <w:shd w:val="clear" w:color="auto" w:fill="FFFFFF"/>
        </w:rPr>
        <w:t>本服务合同严禁转包和违法分包，违者必责。</w:t>
      </w:r>
    </w:p>
    <w:p>
      <w:pPr>
        <w:pStyle w:val="101"/>
        <w:autoSpaceDE w:val="0"/>
        <w:autoSpaceDN w:val="0"/>
        <w:snapToGrid w:val="0"/>
        <w:ind w:firstLine="422" w:firstLineChars="175"/>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十一、项目负责人</w:t>
      </w:r>
    </w:p>
    <w:p>
      <w:pPr>
        <w:overflowPunct w:val="0"/>
        <w:autoSpaceDE w:val="0"/>
        <w:autoSpaceDN w:val="0"/>
        <w:spacing w:line="360" w:lineRule="auto"/>
        <w:ind w:firstLine="480"/>
        <w:rPr>
          <w:rFonts w:asciiTheme="minorEastAsia" w:hAnsiTheme="minorEastAsia" w:eastAsiaTheme="minorEastAsia"/>
          <w:color w:val="000000" w:themeColor="text1"/>
        </w:rPr>
      </w:pPr>
      <w:r>
        <w:rPr>
          <w:rFonts w:asciiTheme="minorEastAsia" w:hAnsiTheme="minorEastAsia" w:eastAsiaTheme="minorEastAsia"/>
          <w:color w:val="000000" w:themeColor="text1"/>
        </w:rPr>
        <w:t>1、甲方项目负责人：</w:t>
      </w:r>
      <w:r>
        <w:rPr>
          <w:rFonts w:hint="eastAsia" w:asciiTheme="minorEastAsia" w:hAnsiTheme="minorEastAsia" w:eastAsiaTheme="minorEastAsia"/>
          <w:color w:val="000000" w:themeColor="text1"/>
          <w:u w:val="single"/>
        </w:rPr>
        <w:t xml:space="preserve">            </w:t>
      </w:r>
      <w:r>
        <w:rPr>
          <w:rFonts w:asciiTheme="minorEastAsia" w:hAnsiTheme="minorEastAsia" w:eastAsiaTheme="minorEastAsia"/>
          <w:color w:val="000000" w:themeColor="text1"/>
        </w:rPr>
        <w:t>，联系电话：</w:t>
      </w:r>
      <w:r>
        <w:rPr>
          <w:rFonts w:hint="eastAsia" w:asciiTheme="minorEastAsia" w:hAnsiTheme="minorEastAsia" w:eastAsiaTheme="minorEastAsia"/>
          <w:color w:val="000000" w:themeColor="text1"/>
          <w:u w:val="single"/>
        </w:rPr>
        <w:t xml:space="preserve">            </w:t>
      </w:r>
      <w:r>
        <w:rPr>
          <w:rFonts w:asciiTheme="minorEastAsia" w:hAnsiTheme="minorEastAsia" w:eastAsiaTheme="minorEastAsia"/>
          <w:color w:val="000000" w:themeColor="text1"/>
        </w:rPr>
        <w:t>。</w:t>
      </w:r>
    </w:p>
    <w:p>
      <w:pPr>
        <w:overflowPunct w:val="0"/>
        <w:autoSpaceDE w:val="0"/>
        <w:autoSpaceDN w:val="0"/>
        <w:spacing w:line="360" w:lineRule="auto"/>
        <w:ind w:firstLine="480"/>
        <w:rPr>
          <w:rFonts w:asciiTheme="minorEastAsia" w:hAnsiTheme="minorEastAsia" w:eastAsiaTheme="minorEastAsia"/>
          <w:color w:val="000000" w:themeColor="text1"/>
        </w:rPr>
      </w:pPr>
      <w:r>
        <w:rPr>
          <w:rFonts w:asciiTheme="minorEastAsia" w:hAnsiTheme="minorEastAsia" w:eastAsiaTheme="minorEastAsia"/>
          <w:color w:val="000000" w:themeColor="text1"/>
        </w:rPr>
        <w:t>2、乙方项目负责人：</w:t>
      </w:r>
      <w:r>
        <w:rPr>
          <w:rFonts w:hint="eastAsia" w:asciiTheme="minorEastAsia" w:hAnsiTheme="minorEastAsia" w:eastAsiaTheme="minorEastAsia"/>
          <w:color w:val="000000" w:themeColor="text1"/>
          <w:u w:val="single"/>
        </w:rPr>
        <w:t xml:space="preserve">            </w:t>
      </w:r>
      <w:r>
        <w:rPr>
          <w:rFonts w:asciiTheme="minorEastAsia" w:hAnsiTheme="minorEastAsia" w:eastAsiaTheme="minorEastAsia"/>
          <w:color w:val="000000" w:themeColor="text1"/>
        </w:rPr>
        <w:t>，联系电话：</w:t>
      </w:r>
      <w:r>
        <w:rPr>
          <w:rFonts w:hint="eastAsia" w:asciiTheme="minorEastAsia" w:hAnsiTheme="minorEastAsia" w:eastAsiaTheme="minorEastAsia"/>
          <w:color w:val="000000" w:themeColor="text1"/>
          <w:u w:val="single"/>
        </w:rPr>
        <w:t xml:space="preserve">            </w:t>
      </w:r>
      <w:r>
        <w:rPr>
          <w:rFonts w:asciiTheme="minorEastAsia" w:hAnsiTheme="minorEastAsia" w:eastAsiaTheme="minorEastAsia"/>
          <w:color w:val="000000" w:themeColor="text1"/>
        </w:rPr>
        <w:t>。</w:t>
      </w:r>
    </w:p>
    <w:p>
      <w:pPr>
        <w:pStyle w:val="101"/>
        <w:autoSpaceDE w:val="0"/>
        <w:autoSpaceDN w:val="0"/>
        <w:snapToGrid w:val="0"/>
        <w:ind w:firstLine="422" w:firstLineChars="175"/>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十二、安全协议</w:t>
      </w:r>
    </w:p>
    <w:p>
      <w:pPr>
        <w:overflowPunct w:val="0"/>
        <w:autoSpaceDE w:val="0"/>
        <w:autoSpaceDN w:val="0"/>
        <w:spacing w:line="360" w:lineRule="auto"/>
        <w:ind w:firstLine="480"/>
        <w:rPr>
          <w:rFonts w:asciiTheme="minorEastAsia" w:hAnsiTheme="minorEastAsia" w:eastAsiaTheme="minorEastAsia"/>
          <w:color w:val="000000" w:themeColor="text1"/>
        </w:rPr>
      </w:pPr>
      <w:r>
        <w:rPr>
          <w:rFonts w:asciiTheme="minorEastAsia" w:hAnsiTheme="minorEastAsia" w:eastAsiaTheme="minorEastAsia"/>
          <w:color w:val="000000" w:themeColor="text1"/>
        </w:rPr>
        <w:t>合同签订后，乙方须与甲方安监部签订安全协议后方可开工。此安全协议作为合同附件与合同具有同等法律效力。</w:t>
      </w:r>
    </w:p>
    <w:p>
      <w:pPr>
        <w:pStyle w:val="101"/>
        <w:autoSpaceDE w:val="0"/>
        <w:autoSpaceDN w:val="0"/>
        <w:snapToGrid w:val="0"/>
        <w:ind w:firstLine="422" w:firstLineChars="175"/>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十三、争议的解决</w:t>
      </w:r>
    </w:p>
    <w:p>
      <w:pPr>
        <w:pStyle w:val="101"/>
        <w:autoSpaceDE w:val="0"/>
        <w:autoSpaceDN w:val="0"/>
        <w:snapToGrid w:val="0"/>
        <w:ind w:firstLine="420" w:firstLineChars="175"/>
        <w:outlineLvl w:val="0"/>
        <w:rPr>
          <w:rFonts w:hint="default" w:asciiTheme="minorEastAsia" w:hAnsiTheme="minorEastAsia" w:eastAsiaTheme="minorEastAsia"/>
          <w:color w:val="000000" w:themeColor="text1"/>
          <w:sz w:val="24"/>
        </w:rPr>
      </w:pPr>
      <w:r>
        <w:rPr>
          <w:rFonts w:asciiTheme="minorEastAsia" w:hAnsiTheme="minorEastAsia" w:eastAsiaTheme="minorEastAsia"/>
          <w:color w:val="000000" w:themeColor="text1"/>
          <w:sz w:val="24"/>
        </w:rPr>
        <w:t>本合同履行过程中发生争议，双方协商解决,协商不成的，由甲方所在辖区人民法院依法裁定。</w:t>
      </w:r>
    </w:p>
    <w:p>
      <w:pPr>
        <w:pStyle w:val="101"/>
        <w:autoSpaceDE w:val="0"/>
        <w:autoSpaceDN w:val="0"/>
        <w:snapToGrid w:val="0"/>
        <w:ind w:firstLine="422" w:firstLineChars="175"/>
        <w:outlineLvl w:val="0"/>
        <w:rPr>
          <w:rFonts w:hint="default" w:asciiTheme="minorEastAsia" w:hAnsiTheme="minorEastAsia" w:eastAsiaTheme="minorEastAsia"/>
          <w:b/>
          <w:sz w:val="24"/>
          <w:shd w:val="clear" w:color="auto" w:fill="FFFFFF"/>
        </w:rPr>
      </w:pPr>
      <w:r>
        <w:rPr>
          <w:rFonts w:asciiTheme="minorEastAsia" w:hAnsiTheme="minorEastAsia" w:eastAsiaTheme="minorEastAsia"/>
          <w:b/>
          <w:sz w:val="24"/>
          <w:szCs w:val="24"/>
          <w:shd w:val="clear" w:color="auto" w:fill="FFFFFF"/>
        </w:rPr>
        <w:t>十四、</w:t>
      </w:r>
      <w:r>
        <w:rPr>
          <w:rFonts w:asciiTheme="minorEastAsia" w:hAnsiTheme="minorEastAsia" w:eastAsiaTheme="minorEastAsia"/>
          <w:b/>
          <w:sz w:val="24"/>
          <w:shd w:val="clear" w:color="auto" w:fill="FFFFFF"/>
        </w:rPr>
        <w:t>本合同正本一式肆份，甲方执贰份，乙方执贰份，具有同等法律效力。</w:t>
      </w:r>
    </w:p>
    <w:p>
      <w:pPr>
        <w:overflowPunct w:val="0"/>
        <w:autoSpaceDE w:val="0"/>
        <w:autoSpaceDN w:val="0"/>
        <w:spacing w:line="360" w:lineRule="auto"/>
        <w:ind w:firstLine="240" w:firstLineChars="100"/>
        <w:rPr>
          <w:rFonts w:asciiTheme="minorEastAsia" w:hAnsiTheme="minorEastAsia" w:eastAsiaTheme="minorEastAsia"/>
        </w:rPr>
      </w:pPr>
      <w:r>
        <w:rPr>
          <w:rFonts w:hint="eastAsia" w:asciiTheme="minorEastAsia" w:hAnsiTheme="minorEastAsia" w:eastAsiaTheme="minorEastAsia"/>
        </w:rPr>
        <w:t>（以下无正文）</w:t>
      </w:r>
      <w:bookmarkStart w:id="88" w:name="OLE_LINK3"/>
      <w:bookmarkEnd w:id="88"/>
    </w:p>
    <w:p>
      <w:pPr>
        <w:widowControl/>
        <w:ind w:firstLine="480"/>
        <w:jc w:val="left"/>
        <w:rPr>
          <w:rFonts w:asciiTheme="minorEastAsia" w:hAnsiTheme="minorEastAsia" w:eastAsiaTheme="minorEastAsia"/>
        </w:rPr>
      </w:pPr>
      <w:r>
        <w:rPr>
          <w:rFonts w:asciiTheme="minorEastAsia" w:hAnsiTheme="minorEastAsia" w:eastAsiaTheme="minorEastAsia"/>
        </w:rPr>
        <w:br w:type="page"/>
      </w:r>
    </w:p>
    <w:p>
      <w:pPr>
        <w:overflowPunct w:val="0"/>
        <w:autoSpaceDE w:val="0"/>
        <w:autoSpaceDN w:val="0"/>
        <w:spacing w:line="360" w:lineRule="auto"/>
        <w:ind w:firstLine="480"/>
        <w:rPr>
          <w:rFonts w:asciiTheme="minorEastAsia" w:hAnsiTheme="minorEastAsia" w:eastAsiaTheme="minorEastAsia"/>
        </w:rPr>
      </w:pPr>
    </w:p>
    <w:p>
      <w:pPr>
        <w:overflowPunct w:val="0"/>
        <w:autoSpaceDE w:val="0"/>
        <w:autoSpaceDN w:val="0"/>
        <w:spacing w:line="360" w:lineRule="auto"/>
        <w:ind w:firstLine="480"/>
        <w:rPr>
          <w:rFonts w:asciiTheme="minorEastAsia" w:hAnsiTheme="minorEastAsia" w:eastAsiaTheme="minorEastAsia"/>
        </w:rPr>
      </w:pPr>
      <w:r>
        <w:rPr>
          <w:rFonts w:hint="eastAsia" w:asciiTheme="minorEastAsia" w:hAnsiTheme="minorEastAsia" w:eastAsiaTheme="minorEastAsia"/>
        </w:rPr>
        <w:t>（此页无正文）</w:t>
      </w:r>
    </w:p>
    <w:p>
      <w:pPr>
        <w:spacing w:line="360" w:lineRule="auto"/>
        <w:ind w:left="5040" w:hanging="5040" w:hangingChars="2100"/>
        <w:jc w:val="left"/>
        <w:rPr>
          <w:rFonts w:asciiTheme="minorEastAsia" w:hAnsiTheme="minorEastAsia" w:eastAsiaTheme="minorEastAsia"/>
          <w:color w:val="000000"/>
        </w:rPr>
      </w:pPr>
      <w:r>
        <w:rPr>
          <w:rFonts w:hint="eastAsia" w:asciiTheme="minorEastAsia" w:hAnsiTheme="minorEastAsia" w:eastAsiaTheme="minorEastAsia"/>
          <w:color w:val="000000"/>
        </w:rPr>
        <w:t>甲方：华能沁北发电有限责任公司       乙方：</w:t>
      </w:r>
    </w:p>
    <w:p>
      <w:pPr>
        <w:tabs>
          <w:tab w:val="left" w:pos="5040"/>
        </w:tabs>
        <w:overflowPunct w:val="0"/>
        <w:autoSpaceDE w:val="0"/>
        <w:autoSpaceDN w:val="0"/>
        <w:spacing w:line="360" w:lineRule="auto"/>
        <w:ind w:left="5160" w:hanging="5160" w:hangingChars="2150"/>
        <w:rPr>
          <w:rFonts w:asciiTheme="minorEastAsia" w:hAnsiTheme="minorEastAsia" w:eastAsiaTheme="minorEastAsia"/>
        </w:rPr>
      </w:pPr>
      <w:r>
        <w:rPr>
          <w:rFonts w:hint="eastAsia" w:asciiTheme="minorEastAsia" w:hAnsiTheme="minorEastAsia" w:eastAsiaTheme="minorEastAsia"/>
        </w:rPr>
        <w:t>地址：河南省济源市五龙口镇             地址：</w:t>
      </w:r>
    </w:p>
    <w:p>
      <w:pPr>
        <w:overflowPunct w:val="0"/>
        <w:autoSpaceDE w:val="0"/>
        <w:autoSpaceDN w:val="0"/>
        <w:spacing w:line="360" w:lineRule="auto"/>
        <w:ind w:firstLine="480"/>
        <w:rPr>
          <w:rFonts w:asciiTheme="minorEastAsia" w:hAnsiTheme="minorEastAsia" w:eastAsiaTheme="minorEastAsia"/>
        </w:rPr>
      </w:pPr>
    </w:p>
    <w:p>
      <w:pPr>
        <w:overflowPunct w:val="0"/>
        <w:autoSpaceDE w:val="0"/>
        <w:autoSpaceDN w:val="0"/>
        <w:spacing w:line="360" w:lineRule="auto"/>
        <w:ind w:firstLine="0" w:firstLineChars="0"/>
        <w:rPr>
          <w:rFonts w:asciiTheme="minorEastAsia" w:hAnsiTheme="minorEastAsia" w:eastAsiaTheme="minorEastAsia"/>
        </w:rPr>
      </w:pPr>
      <w:r>
        <w:rPr>
          <w:rFonts w:hint="eastAsia" w:asciiTheme="minorEastAsia" w:hAnsiTheme="minorEastAsia" w:eastAsiaTheme="minorEastAsia"/>
        </w:rPr>
        <w:t>法定代表人：                           法定代表人：</w:t>
      </w:r>
    </w:p>
    <w:p>
      <w:pPr>
        <w:overflowPunct w:val="0"/>
        <w:autoSpaceDE w:val="0"/>
        <w:autoSpaceDN w:val="0"/>
        <w:spacing w:line="360" w:lineRule="auto"/>
        <w:ind w:firstLine="120" w:firstLineChars="50"/>
        <w:rPr>
          <w:rFonts w:asciiTheme="minorEastAsia" w:hAnsiTheme="minorEastAsia" w:eastAsiaTheme="minorEastAsia"/>
        </w:rPr>
      </w:pPr>
    </w:p>
    <w:p>
      <w:pPr>
        <w:overflowPunct w:val="0"/>
        <w:autoSpaceDE w:val="0"/>
        <w:autoSpaceDN w:val="0"/>
        <w:spacing w:line="360" w:lineRule="auto"/>
        <w:ind w:firstLine="480"/>
        <w:rPr>
          <w:rFonts w:asciiTheme="minorEastAsia" w:hAnsiTheme="minorEastAsia" w:eastAsiaTheme="minorEastAsia"/>
        </w:rPr>
      </w:pPr>
      <w:r>
        <w:rPr>
          <w:rFonts w:hint="eastAsia" w:asciiTheme="minorEastAsia" w:hAnsiTheme="minorEastAsia" w:eastAsiaTheme="minorEastAsia"/>
        </w:rPr>
        <w:t>（或</w:t>
      </w:r>
      <w:r>
        <w:rPr>
          <w:rFonts w:hint="eastAsia" w:asciiTheme="minorEastAsia" w:hAnsiTheme="minorEastAsia" w:eastAsiaTheme="minorEastAsia"/>
          <w:color w:val="000000"/>
        </w:rPr>
        <w:t>委托代理人）</w:t>
      </w:r>
      <w:r>
        <w:rPr>
          <w:rFonts w:hint="eastAsia" w:asciiTheme="minorEastAsia" w:hAnsiTheme="minorEastAsia" w:eastAsiaTheme="minorEastAsia"/>
        </w:rPr>
        <w:t>：                   （或</w:t>
      </w:r>
      <w:r>
        <w:rPr>
          <w:rFonts w:hint="eastAsia" w:asciiTheme="minorEastAsia" w:hAnsiTheme="minorEastAsia" w:eastAsiaTheme="minorEastAsia"/>
          <w:color w:val="000000"/>
        </w:rPr>
        <w:t>委托代理人）：</w:t>
      </w:r>
    </w:p>
    <w:p>
      <w:pPr>
        <w:overflowPunct w:val="0"/>
        <w:autoSpaceDE w:val="0"/>
        <w:autoSpaceDN w:val="0"/>
        <w:spacing w:line="360" w:lineRule="auto"/>
        <w:ind w:firstLine="480"/>
        <w:rPr>
          <w:rFonts w:asciiTheme="minorEastAsia" w:hAnsiTheme="minorEastAsia" w:eastAsiaTheme="minorEastAsia"/>
        </w:rPr>
      </w:pPr>
    </w:p>
    <w:p>
      <w:pPr>
        <w:overflowPunct w:val="0"/>
        <w:autoSpaceDE w:val="0"/>
        <w:autoSpaceDN w:val="0"/>
        <w:spacing w:line="360" w:lineRule="auto"/>
        <w:ind w:firstLine="480"/>
        <w:rPr>
          <w:rFonts w:asciiTheme="minorEastAsia" w:hAnsiTheme="minorEastAsia" w:eastAsiaTheme="minorEastAsia"/>
        </w:rPr>
      </w:pPr>
      <w:r>
        <w:rPr>
          <w:rFonts w:hint="eastAsia" w:asciiTheme="minorEastAsia" w:hAnsiTheme="minorEastAsia" w:eastAsiaTheme="minorEastAsia"/>
        </w:rPr>
        <w:t>2022年     月     日                 2022年    月    日</w:t>
      </w:r>
    </w:p>
    <w:p>
      <w:pPr>
        <w:overflowPunct w:val="0"/>
        <w:autoSpaceDE w:val="0"/>
        <w:autoSpaceDN w:val="0"/>
        <w:spacing w:line="360" w:lineRule="auto"/>
        <w:ind w:firstLine="480"/>
        <w:rPr>
          <w:rFonts w:asciiTheme="minorEastAsia" w:hAnsiTheme="minorEastAsia" w:eastAsiaTheme="minorEastAsia"/>
        </w:rPr>
      </w:pPr>
    </w:p>
    <w:p>
      <w:pPr>
        <w:pStyle w:val="15"/>
        <w:spacing w:line="360" w:lineRule="auto"/>
        <w:ind w:left="5520" w:hanging="5520" w:hangingChars="2300"/>
        <w:rPr>
          <w:rFonts w:asciiTheme="minorEastAsia" w:hAnsiTheme="minorEastAsia" w:eastAsiaTheme="minorEastAsia"/>
          <w:sz w:val="24"/>
        </w:rPr>
      </w:pPr>
      <w:r>
        <w:rPr>
          <w:rFonts w:hint="eastAsia" w:hAnsi="宋体"/>
          <w:sz w:val="24"/>
          <w:szCs w:val="24"/>
        </w:rPr>
        <w:t>开户银行：</w:t>
      </w:r>
      <w:r>
        <w:rPr>
          <w:rFonts w:hint="eastAsia" w:asciiTheme="minorEastAsia" w:hAnsiTheme="minorEastAsia" w:eastAsiaTheme="minorEastAsia"/>
          <w:sz w:val="24"/>
        </w:rPr>
        <w:t xml:space="preserve">济源市建行沁北电厂支行       </w:t>
      </w:r>
      <w:r>
        <w:rPr>
          <w:rFonts w:hint="eastAsia" w:hAnsi="宋体"/>
          <w:sz w:val="24"/>
          <w:szCs w:val="24"/>
        </w:rPr>
        <w:t>开户银行：</w:t>
      </w:r>
    </w:p>
    <w:p>
      <w:pPr>
        <w:pStyle w:val="15"/>
        <w:spacing w:line="360" w:lineRule="auto"/>
        <w:ind w:firstLine="0" w:firstLineChars="0"/>
        <w:rPr>
          <w:rFonts w:hAnsi="宋体"/>
          <w:sz w:val="24"/>
          <w:szCs w:val="24"/>
        </w:rPr>
      </w:pPr>
      <w:r>
        <w:rPr>
          <w:rFonts w:hint="eastAsia" w:hAnsi="宋体"/>
          <w:sz w:val="24"/>
          <w:szCs w:val="24"/>
        </w:rPr>
        <w:t>帐    号：41001501511050000859         帐    号：</w:t>
      </w:r>
    </w:p>
    <w:p>
      <w:pPr>
        <w:pStyle w:val="15"/>
        <w:spacing w:line="360" w:lineRule="auto"/>
        <w:ind w:firstLine="0" w:firstLineChars="0"/>
        <w:rPr>
          <w:rFonts w:hAnsi="宋体"/>
          <w:sz w:val="24"/>
          <w:szCs w:val="24"/>
        </w:rPr>
      </w:pPr>
      <w:r>
        <w:rPr>
          <w:rFonts w:hint="eastAsia" w:hAnsi="宋体"/>
          <w:sz w:val="24"/>
          <w:szCs w:val="24"/>
        </w:rPr>
        <w:t>税务登记号：91419001735514918K         税务登记号：</w:t>
      </w:r>
    </w:p>
    <w:p>
      <w:pPr>
        <w:ind w:firstLine="480"/>
      </w:pPr>
    </w:p>
    <w:p>
      <w:pPr>
        <w:widowControl/>
        <w:adjustRightInd/>
        <w:snapToGrid/>
        <w:spacing w:line="240" w:lineRule="auto"/>
        <w:ind w:firstLine="0" w:firstLineChars="0"/>
        <w:jc w:val="left"/>
      </w:pPr>
      <w:r>
        <w:br w:type="page"/>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5"/>
        <w:spacing w:before="120"/>
      </w:pPr>
      <w:bookmarkStart w:id="89" w:name="_Toc98316859"/>
      <w:r>
        <w:t>第</w:t>
      </w:r>
      <w:r>
        <w:rPr>
          <w:rFonts w:hint="eastAsia"/>
        </w:rPr>
        <w:t>五</w:t>
      </w:r>
      <w:r>
        <w:t xml:space="preserve">章 </w:t>
      </w:r>
      <w:r>
        <w:rPr>
          <w:rFonts w:hint="eastAsia"/>
        </w:rPr>
        <w:t>技术规范书</w:t>
      </w:r>
      <w:bookmarkEnd w:id="89"/>
    </w:p>
    <w:p>
      <w:pPr>
        <w:pStyle w:val="94"/>
        <w:widowControl/>
        <w:numPr>
          <w:ilvl w:val="0"/>
          <w:numId w:val="1"/>
        </w:numPr>
        <w:ind w:left="425" w:firstLine="0" w:firstLineChars="0"/>
        <w:jc w:val="left"/>
        <w:outlineLvl w:val="0"/>
      </w:pPr>
      <w:r>
        <w:br w:type="page"/>
      </w:r>
    </w:p>
    <w:p>
      <w:pPr>
        <w:pStyle w:val="94"/>
        <w:spacing w:line="400" w:lineRule="atLeast"/>
        <w:ind w:left="425" w:firstLine="0" w:firstLineChars="0"/>
        <w:jc w:val="center"/>
        <w:outlineLvl w:val="0"/>
        <w:rPr>
          <w:rFonts w:ascii="仿宋_GB2312" w:eastAsia="仿宋_GB2312"/>
          <w:b/>
          <w:sz w:val="32"/>
          <w:szCs w:val="32"/>
        </w:rPr>
      </w:pPr>
      <w:r>
        <w:rPr>
          <w:rFonts w:hint="eastAsia" w:ascii="仿宋_GB2312" w:eastAsia="仿宋_GB2312"/>
          <w:b/>
          <w:sz w:val="32"/>
          <w:szCs w:val="32"/>
        </w:rPr>
        <w:t>沁北电厂2022年第三季度分布式光伏发电项目建筑物结构荷载检测鉴定服务技术规范</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一、总则</w:t>
      </w:r>
    </w:p>
    <w:p>
      <w:pPr>
        <w:spacing w:line="360" w:lineRule="auto"/>
        <w:ind w:firstLine="566" w:firstLineChars="236"/>
        <w:rPr>
          <w:rFonts w:ascii="宋体" w:hAnsi="宋体"/>
        </w:rPr>
      </w:pPr>
      <w:r>
        <w:rPr>
          <w:rFonts w:hint="eastAsia" w:ascii="宋体" w:hAnsi="宋体"/>
        </w:rPr>
        <w:t>1、本规范书用于华能沁北发电有限责任公司（以下简称沁北电厂）沁北电厂2022年第三季度分布式光伏发电项目建筑物结构荷载检测鉴定服务项目招标，提出了在</w:t>
      </w:r>
      <w:r>
        <w:rPr>
          <w:rFonts w:ascii="宋体" w:hAnsi="宋体"/>
        </w:rPr>
        <w:t>天龙焦化、鲁泰能源、济世药业、济晋高速、中煤科工、富士康、五龙口纳米产业园及</w:t>
      </w:r>
      <w:r>
        <w:rPr>
          <w:rFonts w:hint="eastAsia" w:ascii="宋体" w:hAnsi="宋体"/>
        </w:rPr>
        <w:t>林安</w:t>
      </w:r>
      <w:r>
        <w:rPr>
          <w:rFonts w:ascii="宋体" w:hAnsi="宋体"/>
        </w:rPr>
        <w:t>（</w:t>
      </w:r>
      <w:r>
        <w:rPr>
          <w:rFonts w:hint="eastAsia" w:ascii="宋体" w:hAnsi="宋体"/>
        </w:rPr>
        <w:t>偃师</w:t>
      </w:r>
      <w:r>
        <w:rPr>
          <w:rFonts w:ascii="宋体" w:hAnsi="宋体"/>
        </w:rPr>
        <w:t>）</w:t>
      </w:r>
      <w:r>
        <w:rPr>
          <w:rFonts w:hint="eastAsia" w:ascii="宋体" w:hAnsi="宋体"/>
        </w:rPr>
        <w:t>商贸物流城</w:t>
      </w:r>
      <w:r>
        <w:rPr>
          <w:rFonts w:ascii="宋体" w:hAnsi="宋体"/>
        </w:rPr>
        <w:t>等单位的</w:t>
      </w:r>
      <w:r>
        <w:rPr>
          <w:rFonts w:hint="eastAsia" w:ascii="宋体" w:hAnsi="宋体"/>
        </w:rPr>
        <w:t>建筑物屋顶进行踏勘、检测，并出具屋顶分布式光伏发电项目建筑结构校核结论报告编制及检测鉴定报告编制服务的技术要求。</w:t>
      </w:r>
    </w:p>
    <w:p>
      <w:pPr>
        <w:spacing w:line="360" w:lineRule="auto"/>
        <w:ind w:firstLine="566" w:firstLineChars="236"/>
        <w:rPr>
          <w:rFonts w:ascii="宋体" w:hAnsi="宋体"/>
        </w:rPr>
      </w:pPr>
      <w:r>
        <w:rPr>
          <w:rFonts w:hint="eastAsia" w:ascii="宋体" w:hAnsi="宋体"/>
        </w:rPr>
        <w:t>2、本技术规范书提出的是最低限度的技术要求，并未对一切技术细节做出规定，也未充分引述有关标准和规范的条文。</w:t>
      </w:r>
    </w:p>
    <w:p>
      <w:pPr>
        <w:spacing w:line="360" w:lineRule="auto"/>
        <w:ind w:firstLine="566" w:firstLineChars="236"/>
        <w:rPr>
          <w:rFonts w:ascii="宋体" w:hAnsi="宋体"/>
        </w:rPr>
      </w:pPr>
      <w:r>
        <w:rPr>
          <w:rFonts w:hint="eastAsia" w:ascii="宋体" w:hAnsi="宋体"/>
        </w:rPr>
        <w:t>3、供应商如对本规范书有异议，应以书面形式提出，在征得采购人认同以后，方可对有关条文进行修改。如采购人不同意修改，仍以采购人意见为准。</w:t>
      </w:r>
    </w:p>
    <w:p>
      <w:pPr>
        <w:spacing w:line="360" w:lineRule="auto"/>
        <w:ind w:firstLine="566" w:firstLineChars="236"/>
        <w:rPr>
          <w:rFonts w:ascii="宋体" w:hAnsi="宋体"/>
        </w:rPr>
      </w:pPr>
      <w:r>
        <w:rPr>
          <w:rFonts w:hint="eastAsia" w:ascii="宋体" w:hAnsi="宋体"/>
        </w:rPr>
        <w:t>4、在签订合同之后，采购人仍保留有对本技术规范书的技术规范提出补充要求和修改的权力，供应商应承诺予以配合。如提出修改，具体项目和条件由双方商定。</w:t>
      </w:r>
    </w:p>
    <w:p>
      <w:pPr>
        <w:spacing w:line="360" w:lineRule="auto"/>
        <w:ind w:firstLine="566" w:firstLineChars="236"/>
        <w:rPr>
          <w:rFonts w:ascii="宋体" w:hAnsi="宋体"/>
        </w:rPr>
      </w:pPr>
      <w:r>
        <w:rPr>
          <w:rFonts w:hint="eastAsia" w:ascii="宋体" w:hAnsi="宋体"/>
        </w:rPr>
        <w:t>5、供应商在投标书中应采用国际单位制（SI），并以中文文本为准。供应商提供投标及设计资料与图纸，包括电子版。</w:t>
      </w:r>
    </w:p>
    <w:p>
      <w:pPr>
        <w:spacing w:line="360" w:lineRule="auto"/>
        <w:ind w:firstLine="566" w:firstLineChars="236"/>
        <w:rPr>
          <w:rFonts w:ascii="宋体" w:hAnsi="宋体"/>
        </w:rPr>
      </w:pPr>
      <w:r>
        <w:rPr>
          <w:rFonts w:hint="eastAsia" w:ascii="宋体" w:hAnsi="宋体"/>
        </w:rPr>
        <w:t>6、本技术规范书经招投标双方确认后作为合同的技术附件，与合同正文具有同等效力。</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二、项目概况</w:t>
      </w:r>
    </w:p>
    <w:p>
      <w:pPr>
        <w:spacing w:line="360" w:lineRule="auto"/>
        <w:ind w:firstLine="566" w:firstLineChars="236"/>
        <w:rPr>
          <w:rFonts w:ascii="宋体" w:hAnsi="宋体"/>
        </w:rPr>
      </w:pPr>
      <w:r>
        <w:rPr>
          <w:rFonts w:ascii="宋体" w:hAnsi="宋体"/>
        </w:rPr>
        <w:t>暂定在天龙焦化、鲁泰能源、济世药业、济晋高速、中煤科工、富士康、五龙口纳米产业园及</w:t>
      </w:r>
      <w:r>
        <w:rPr>
          <w:rFonts w:hint="eastAsia" w:ascii="宋体" w:hAnsi="宋体"/>
        </w:rPr>
        <w:t>林安</w:t>
      </w:r>
      <w:r>
        <w:rPr>
          <w:rFonts w:ascii="宋体" w:hAnsi="宋体"/>
        </w:rPr>
        <w:t>（</w:t>
      </w:r>
      <w:r>
        <w:rPr>
          <w:rFonts w:hint="eastAsia" w:ascii="宋体" w:hAnsi="宋体"/>
        </w:rPr>
        <w:t>偃师</w:t>
      </w:r>
      <w:r>
        <w:rPr>
          <w:rFonts w:ascii="宋体" w:hAnsi="宋体"/>
        </w:rPr>
        <w:t>）</w:t>
      </w:r>
      <w:r>
        <w:rPr>
          <w:rFonts w:hint="eastAsia" w:ascii="宋体" w:hAnsi="宋体"/>
        </w:rPr>
        <w:t>商贸物流城</w:t>
      </w:r>
      <w:r>
        <w:rPr>
          <w:rFonts w:ascii="宋体" w:hAnsi="宋体"/>
        </w:rPr>
        <w:t>等单位的</w:t>
      </w:r>
      <w:r>
        <w:rPr>
          <w:rFonts w:hint="eastAsia" w:ascii="宋体" w:hAnsi="宋体"/>
        </w:rPr>
        <w:t>建筑物共计157458平方米（其中混凝土框架屋顶面积30000平方米，钢结构屋顶面积127458平方米）的屋顶上建设分布式光伏电站，在混凝土框架屋顶上拟采用不破坏原有屋面防水的混凝土配重式基础，在钢结构屋顶上拟采用以夹具打孔或结构胶固定在屋面彩钢瓦上的形式安装，需要第三方单位复核计算及检测确定增加光伏组件后屋面原结构是否满足承载力要求。</w:t>
      </w:r>
    </w:p>
    <w:p>
      <w:pPr>
        <w:spacing w:line="360" w:lineRule="auto"/>
        <w:ind w:firstLine="566" w:firstLineChars="236"/>
        <w:rPr>
          <w:rFonts w:ascii="宋体" w:hAnsi="宋体"/>
        </w:rPr>
      </w:pPr>
      <w:r>
        <w:rPr>
          <w:rFonts w:hint="eastAsia" w:ascii="宋体" w:hAnsi="宋体"/>
        </w:rPr>
        <w:t>为确保分布式屋顶光伏电站安全可靠，根据国家规范要求，需聘请有资质单位对拟建设屋顶分布式光伏电站项目屋顶进行踏勘、检测，并出具屋顶分布式光伏发电项目建筑结构校核结论报告及检测鉴定报告。</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三、标准与规范</w:t>
      </w:r>
    </w:p>
    <w:p>
      <w:pPr>
        <w:spacing w:line="360" w:lineRule="auto"/>
        <w:ind w:firstLine="566" w:firstLineChars="236"/>
        <w:rPr>
          <w:rFonts w:ascii="宋体" w:hAnsi="宋体"/>
        </w:rPr>
      </w:pPr>
      <w:r>
        <w:rPr>
          <w:rFonts w:hint="eastAsia" w:ascii="宋体" w:hAnsi="宋体"/>
        </w:rPr>
        <w:t>1、工作原则</w:t>
      </w:r>
    </w:p>
    <w:p>
      <w:pPr>
        <w:spacing w:line="360" w:lineRule="auto"/>
        <w:ind w:firstLine="566" w:firstLineChars="236"/>
        <w:rPr>
          <w:rFonts w:ascii="宋体" w:hAnsi="宋体"/>
        </w:rPr>
      </w:pPr>
      <w:r>
        <w:rPr>
          <w:rFonts w:hint="eastAsia" w:ascii="宋体" w:hAnsi="宋体"/>
        </w:rPr>
        <w:t>按照国家标准核查被鉴建筑物是否满足安全使用要求，并对鉴定检测结果负责，包括但不限于如下工作：</w:t>
      </w:r>
    </w:p>
    <w:p>
      <w:pPr>
        <w:spacing w:line="360" w:lineRule="auto"/>
        <w:ind w:firstLine="566" w:firstLineChars="236"/>
        <w:rPr>
          <w:rFonts w:ascii="宋体" w:hAnsi="宋体"/>
        </w:rPr>
      </w:pPr>
      <w:r>
        <w:rPr>
          <w:rFonts w:hint="eastAsia" w:ascii="宋体" w:hAnsi="宋体"/>
        </w:rPr>
        <w:t>1）初步调查。查阅图纸及观测记录等资料，调查建筑历史情况，考察现场实地了解使用条件及环境，拟定检测鉴定方案。</w:t>
      </w:r>
    </w:p>
    <w:p>
      <w:pPr>
        <w:spacing w:line="360" w:lineRule="auto"/>
        <w:ind w:firstLine="566" w:firstLineChars="236"/>
        <w:rPr>
          <w:rFonts w:ascii="宋体" w:hAnsi="宋体"/>
        </w:rPr>
      </w:pPr>
      <w:r>
        <w:rPr>
          <w:rFonts w:hint="eastAsia" w:ascii="宋体" w:hAnsi="宋体"/>
        </w:rPr>
        <w:t>2）制定检测鉴定方案。检测鉴定方案内容应包括检测鉴定的依据、详细调查与检测的工作内容、检测方案和主要检测方法、工作进度计划及需由委托方完成的准备工作。</w:t>
      </w:r>
    </w:p>
    <w:p>
      <w:pPr>
        <w:spacing w:line="360" w:lineRule="auto"/>
        <w:ind w:firstLine="566" w:firstLineChars="236"/>
        <w:rPr>
          <w:rFonts w:ascii="宋体" w:hAnsi="宋体"/>
        </w:rPr>
      </w:pPr>
      <w:r>
        <w:rPr>
          <w:rFonts w:hint="eastAsia" w:ascii="宋体" w:hAnsi="宋体"/>
        </w:rPr>
        <w:t>3）详细调查及现场检测。详细研究相关文件资料，详细调查结构上的作用荷载和环境中不利因素，检查建筑物周边地面沉陷及开裂情况，检查上部结构是否存在因基础不均匀沉降引起的裂缝，检查结构布置和构件连接情况，检测结构缺陷和损伤，检测承重结构和构件的裂缝、位移或变形，检测结构材料的实际性能和构件几何参数，检查围护结构系统的安全状况和使用功能。检测的主要内容包括并不限于：结构整体垂直度检测，结构布置调查，构件截面尺寸复核，混凝土强度检测，混凝土构件配筋检测，结构损伤和外观缺陷普查，钢结构连接节点构造检查，焊缝外观质量及全熔透焊缝超声波检测，金属材料强度等。</w:t>
      </w:r>
    </w:p>
    <w:p>
      <w:pPr>
        <w:spacing w:line="360" w:lineRule="auto"/>
        <w:ind w:firstLine="566" w:firstLineChars="236"/>
        <w:rPr>
          <w:rFonts w:ascii="宋体" w:hAnsi="宋体"/>
        </w:rPr>
      </w:pPr>
      <w:r>
        <w:rPr>
          <w:rFonts w:hint="eastAsia" w:ascii="宋体" w:hAnsi="宋体"/>
        </w:rPr>
        <w:t>4）根据现状调查和检测结果，及现有的荷载、增加光伏荷载情况，对建构筑物的整体和各个组成部分进行分析与验算，包括结构安全性和正常使用性分析。</w:t>
      </w:r>
    </w:p>
    <w:p>
      <w:pPr>
        <w:spacing w:line="360" w:lineRule="auto"/>
        <w:ind w:firstLine="566" w:firstLineChars="236"/>
        <w:rPr>
          <w:rFonts w:ascii="宋体" w:hAnsi="宋体"/>
        </w:rPr>
      </w:pPr>
      <w:r>
        <w:rPr>
          <w:rFonts w:hint="eastAsia" w:ascii="宋体" w:hAnsi="宋体"/>
        </w:rPr>
        <w:t>5）根据检测数据和验算结果作出结构鉴定结论，并对存在的问题提出处理建议。</w:t>
      </w:r>
    </w:p>
    <w:p>
      <w:pPr>
        <w:spacing w:line="360" w:lineRule="auto"/>
        <w:ind w:firstLine="566" w:firstLineChars="236"/>
        <w:rPr>
          <w:rFonts w:ascii="宋体" w:hAnsi="宋体"/>
        </w:rPr>
      </w:pPr>
      <w:r>
        <w:rPr>
          <w:rFonts w:hint="eastAsia" w:ascii="宋体" w:hAnsi="宋体"/>
        </w:rPr>
        <w:t>6）对房屋增加光伏板荷载进行承载力验算，明确是否满足承载力要求；</w:t>
      </w:r>
    </w:p>
    <w:p>
      <w:pPr>
        <w:spacing w:line="360" w:lineRule="auto"/>
        <w:ind w:firstLine="566" w:firstLineChars="236"/>
        <w:rPr>
          <w:rFonts w:ascii="宋体" w:hAnsi="宋体"/>
        </w:rPr>
      </w:pPr>
      <w:r>
        <w:rPr>
          <w:rFonts w:hint="eastAsia" w:ascii="宋体" w:hAnsi="宋体"/>
        </w:rPr>
        <w:t>7）结合现场实际荷载情况，及建筑物结构图纸，针对本项目拟使用的水泥屋面、彩钢瓦屋面，对主要受力构件（如檩条、楼板等）进行结构建模核算，根据校验报告中 下列几个方面：（1）屋面结构自重；（2）光伏电站系统荷载；（3）风、雨、雪荷载；（4）施工荷载；（5）地震作用的验算等进行审查。</w:t>
      </w:r>
    </w:p>
    <w:p>
      <w:pPr>
        <w:spacing w:line="360" w:lineRule="auto"/>
        <w:ind w:firstLine="566" w:firstLineChars="236"/>
        <w:rPr>
          <w:rFonts w:ascii="宋体" w:hAnsi="宋体"/>
        </w:rPr>
      </w:pPr>
      <w:r>
        <w:rPr>
          <w:rFonts w:hint="eastAsia" w:ascii="宋体" w:hAnsi="宋体"/>
        </w:rPr>
        <w:t>8）按相关要求出具建筑结构校核结论报告及检测鉴定报告；</w:t>
      </w:r>
    </w:p>
    <w:p>
      <w:pPr>
        <w:spacing w:line="360" w:lineRule="auto"/>
        <w:ind w:firstLine="566" w:firstLineChars="236"/>
        <w:rPr>
          <w:rFonts w:ascii="宋体" w:hAnsi="宋体"/>
        </w:rPr>
      </w:pPr>
      <w:r>
        <w:rPr>
          <w:rFonts w:hint="eastAsia" w:ascii="宋体" w:hAnsi="宋体"/>
        </w:rPr>
        <w:t>9）结构安全性或承载力不满足的，如采购人进行加固改造，在加固完成后，再次进行结构安全鉴定和增加光伏板荷载验算，并按实际出具加固后建筑结构校核结论报告及检测鉴定报告（建筑物加固前、后检测鉴定报告结算时按一个建筑结算）。</w:t>
      </w:r>
    </w:p>
    <w:p>
      <w:pPr>
        <w:spacing w:line="360" w:lineRule="auto"/>
        <w:ind w:firstLine="566" w:firstLineChars="236"/>
        <w:rPr>
          <w:rFonts w:ascii="宋体" w:hAnsi="宋体"/>
        </w:rPr>
      </w:pPr>
      <w:r>
        <w:rPr>
          <w:rFonts w:hint="eastAsia" w:ascii="宋体" w:hAnsi="宋体"/>
        </w:rPr>
        <w:t>10）每个光伏项目竣工后，配合采购人开展工程整体验收相关工作。</w:t>
      </w:r>
    </w:p>
    <w:p>
      <w:pPr>
        <w:spacing w:line="360" w:lineRule="auto"/>
        <w:ind w:firstLine="566" w:firstLineChars="236"/>
        <w:rPr>
          <w:rFonts w:ascii="宋体" w:hAnsi="宋体"/>
        </w:rPr>
      </w:pPr>
      <w:r>
        <w:rPr>
          <w:rFonts w:hint="eastAsia" w:ascii="宋体" w:hAnsi="宋体"/>
        </w:rPr>
        <w:t>11）提供具有检测鉴定相关资质的单位</w:t>
      </w:r>
      <w:r>
        <w:rPr>
          <w:rFonts w:ascii="宋体" w:hAnsi="宋体"/>
        </w:rPr>
        <w:t>出具的</w:t>
      </w:r>
      <w:r>
        <w:rPr>
          <w:rFonts w:hint="eastAsia" w:ascii="宋体" w:hAnsi="宋体"/>
        </w:rPr>
        <w:t>相关鉴定</w:t>
      </w:r>
      <w:r>
        <w:rPr>
          <w:rFonts w:ascii="宋体" w:hAnsi="宋体"/>
        </w:rPr>
        <w:t>报告、</w:t>
      </w:r>
      <w:r>
        <w:rPr>
          <w:rFonts w:hint="eastAsia" w:ascii="宋体" w:hAnsi="宋体"/>
        </w:rPr>
        <w:t>设计</w:t>
      </w:r>
      <w:r>
        <w:rPr>
          <w:rFonts w:ascii="宋体" w:hAnsi="宋体"/>
        </w:rPr>
        <w:t>图纸等</w:t>
      </w:r>
      <w:r>
        <w:rPr>
          <w:rFonts w:hint="eastAsia" w:ascii="宋体" w:hAnsi="宋体"/>
        </w:rPr>
        <w:t>必须</w:t>
      </w:r>
      <w:r>
        <w:rPr>
          <w:rFonts w:ascii="宋体" w:hAnsi="宋体"/>
        </w:rPr>
        <w:t>加盖单位公章，否则视为无效。</w:t>
      </w:r>
    </w:p>
    <w:p>
      <w:pPr>
        <w:spacing w:line="360" w:lineRule="auto"/>
        <w:ind w:firstLine="566" w:firstLineChars="236"/>
        <w:rPr>
          <w:rFonts w:ascii="宋体" w:hAnsi="宋体"/>
        </w:rPr>
      </w:pPr>
      <w:r>
        <w:rPr>
          <w:rFonts w:hint="eastAsia" w:ascii="宋体" w:hAnsi="宋体"/>
        </w:rPr>
        <w:t>2、应遵循的主要标准。</w:t>
      </w:r>
    </w:p>
    <w:p>
      <w:pPr>
        <w:spacing w:line="360" w:lineRule="auto"/>
        <w:ind w:firstLine="566" w:firstLineChars="236"/>
        <w:rPr>
          <w:rFonts w:ascii="宋体" w:hAnsi="宋体"/>
        </w:rPr>
      </w:pPr>
      <w:r>
        <w:rPr>
          <w:rFonts w:hint="eastAsia" w:ascii="宋体" w:hAnsi="宋体"/>
        </w:rPr>
        <w:t>本工程适用但不限于下列现行的国家和行业的标准、规范：</w:t>
      </w:r>
    </w:p>
    <w:p>
      <w:pPr>
        <w:spacing w:line="360" w:lineRule="auto"/>
        <w:ind w:firstLine="569" w:firstLineChars="236"/>
        <w:rPr>
          <w:rFonts w:ascii="宋体" w:hAnsi="宋体"/>
          <w:b/>
        </w:rPr>
      </w:pPr>
      <w:r>
        <w:rPr>
          <w:rFonts w:hint="eastAsia" w:ascii="宋体" w:hAnsi="宋体"/>
          <w:b/>
        </w:rPr>
        <w:t>鉴定</w:t>
      </w:r>
    </w:p>
    <w:p>
      <w:pPr>
        <w:spacing w:line="360" w:lineRule="auto"/>
        <w:ind w:firstLine="566" w:firstLineChars="236"/>
        <w:rPr>
          <w:rFonts w:ascii="宋体" w:hAnsi="宋体"/>
        </w:rPr>
      </w:pPr>
      <w:r>
        <w:rPr>
          <w:rFonts w:hint="eastAsia" w:ascii="宋体" w:hAnsi="宋体"/>
        </w:rPr>
        <w:t>1）《建筑工程施工质量验收统一标准》GB 50300；</w:t>
      </w:r>
    </w:p>
    <w:p>
      <w:pPr>
        <w:spacing w:line="360" w:lineRule="auto"/>
        <w:ind w:firstLine="566" w:firstLineChars="236"/>
        <w:rPr>
          <w:rFonts w:ascii="宋体" w:hAnsi="宋体"/>
        </w:rPr>
      </w:pPr>
      <w:r>
        <w:rPr>
          <w:rFonts w:hint="eastAsia" w:ascii="宋体" w:hAnsi="宋体"/>
        </w:rPr>
        <w:t>2）《建筑结构检测技术标准》GB/T 50344；</w:t>
      </w:r>
    </w:p>
    <w:p>
      <w:pPr>
        <w:spacing w:line="360" w:lineRule="auto"/>
        <w:ind w:firstLine="566" w:firstLineChars="236"/>
        <w:rPr>
          <w:rFonts w:ascii="宋体" w:hAnsi="宋体"/>
        </w:rPr>
      </w:pPr>
      <w:r>
        <w:rPr>
          <w:rFonts w:hint="eastAsia" w:ascii="宋体" w:hAnsi="宋体"/>
        </w:rPr>
        <w:t>3）《混凝土结构工程施工质量验收规范》GB 50204；</w:t>
      </w:r>
    </w:p>
    <w:p>
      <w:pPr>
        <w:spacing w:line="360" w:lineRule="auto"/>
        <w:ind w:firstLine="566" w:firstLineChars="236"/>
        <w:rPr>
          <w:rFonts w:ascii="宋体" w:hAnsi="宋体"/>
        </w:rPr>
      </w:pPr>
      <w:r>
        <w:rPr>
          <w:rFonts w:hint="eastAsia" w:ascii="宋体" w:hAnsi="宋体"/>
        </w:rPr>
        <w:t>4）《混凝土结构设计规范》GB50010；</w:t>
      </w:r>
    </w:p>
    <w:p>
      <w:pPr>
        <w:spacing w:line="360" w:lineRule="auto"/>
        <w:ind w:firstLine="566" w:firstLineChars="236"/>
        <w:rPr>
          <w:rFonts w:ascii="宋体" w:hAnsi="宋体"/>
        </w:rPr>
      </w:pPr>
      <w:r>
        <w:rPr>
          <w:rFonts w:hint="eastAsia" w:ascii="宋体" w:hAnsi="宋体"/>
        </w:rPr>
        <w:t>5）《建筑地基基础设计规范》GB50007；</w:t>
      </w:r>
    </w:p>
    <w:p>
      <w:pPr>
        <w:spacing w:line="360" w:lineRule="auto"/>
        <w:ind w:firstLine="566" w:firstLineChars="236"/>
        <w:rPr>
          <w:rFonts w:ascii="宋体" w:hAnsi="宋体"/>
        </w:rPr>
      </w:pPr>
      <w:r>
        <w:rPr>
          <w:rFonts w:hint="eastAsia" w:ascii="宋体" w:hAnsi="宋体"/>
        </w:rPr>
        <w:t>6）《民用建筑可靠性鉴定标准》GB 50292；</w:t>
      </w:r>
    </w:p>
    <w:p>
      <w:pPr>
        <w:spacing w:line="360" w:lineRule="auto"/>
        <w:ind w:firstLine="566" w:firstLineChars="236"/>
        <w:rPr>
          <w:rFonts w:ascii="宋体" w:hAnsi="宋体"/>
        </w:rPr>
      </w:pPr>
      <w:r>
        <w:rPr>
          <w:rFonts w:hint="eastAsia" w:ascii="宋体" w:hAnsi="宋体"/>
        </w:rPr>
        <w:t>7）《工业建筑可靠性鉴定标准》GB50144</w:t>
      </w:r>
    </w:p>
    <w:p>
      <w:pPr>
        <w:spacing w:line="360" w:lineRule="auto"/>
        <w:ind w:firstLine="566" w:firstLineChars="236"/>
        <w:rPr>
          <w:rFonts w:ascii="宋体" w:hAnsi="宋体"/>
        </w:rPr>
      </w:pPr>
      <w:r>
        <w:rPr>
          <w:rFonts w:hint="eastAsia" w:ascii="宋体" w:hAnsi="宋体"/>
        </w:rPr>
        <w:t>8）《砌体结构工程施工质量验收规范》GB50203</w:t>
      </w:r>
    </w:p>
    <w:p>
      <w:pPr>
        <w:spacing w:line="360" w:lineRule="auto"/>
        <w:ind w:firstLine="566" w:firstLineChars="236"/>
        <w:rPr>
          <w:rFonts w:ascii="宋体" w:hAnsi="宋体"/>
        </w:rPr>
      </w:pPr>
      <w:r>
        <w:rPr>
          <w:rFonts w:hint="eastAsia" w:ascii="宋体" w:hAnsi="宋体"/>
        </w:rPr>
        <w:t>9）《钢结构设计标准》GB50017</w:t>
      </w:r>
    </w:p>
    <w:p>
      <w:pPr>
        <w:spacing w:line="360" w:lineRule="auto"/>
        <w:ind w:firstLine="566" w:firstLineChars="236"/>
        <w:rPr>
          <w:rFonts w:ascii="宋体" w:hAnsi="宋体"/>
        </w:rPr>
      </w:pPr>
      <w:r>
        <w:rPr>
          <w:rFonts w:hint="eastAsia" w:ascii="宋体" w:hAnsi="宋体"/>
        </w:rPr>
        <w:t>10）《既有建筑鉴定与加固通用规范》GB 51367</w:t>
      </w:r>
    </w:p>
    <w:p>
      <w:pPr>
        <w:spacing w:line="360" w:lineRule="auto"/>
        <w:ind w:firstLine="566" w:firstLineChars="236"/>
        <w:rPr>
          <w:rFonts w:ascii="宋体" w:hAnsi="宋体"/>
        </w:rPr>
      </w:pPr>
      <w:r>
        <w:rPr>
          <w:rFonts w:hint="eastAsia" w:ascii="宋体" w:hAnsi="宋体"/>
        </w:rPr>
        <w:t>11）《混凝土中钢筋检测技术规程》JGJ/T 152</w:t>
      </w:r>
    </w:p>
    <w:p>
      <w:pPr>
        <w:spacing w:line="360" w:lineRule="auto"/>
        <w:ind w:firstLine="566" w:firstLineChars="236"/>
        <w:rPr>
          <w:rFonts w:ascii="宋体" w:hAnsi="宋体"/>
        </w:rPr>
      </w:pPr>
      <w:r>
        <w:rPr>
          <w:rFonts w:hint="eastAsia" w:ascii="宋体" w:hAnsi="宋体"/>
        </w:rPr>
        <w:t>12）《钢结构通用规范》GB 55021</w:t>
      </w:r>
    </w:p>
    <w:p>
      <w:pPr>
        <w:spacing w:line="360" w:lineRule="auto"/>
        <w:ind w:firstLine="566" w:firstLineChars="236"/>
        <w:rPr>
          <w:rFonts w:ascii="宋体" w:hAnsi="宋体"/>
        </w:rPr>
      </w:pPr>
      <w:r>
        <w:rPr>
          <w:rFonts w:hint="eastAsia" w:ascii="宋体" w:hAnsi="宋体"/>
        </w:rPr>
        <w:t>13）《钢结构工程施工质量验收规范》GB50205</w:t>
      </w:r>
    </w:p>
    <w:p>
      <w:pPr>
        <w:spacing w:line="360" w:lineRule="auto"/>
        <w:ind w:firstLine="569" w:firstLineChars="236"/>
        <w:rPr>
          <w:rFonts w:ascii="宋体" w:hAnsi="宋体"/>
          <w:b/>
        </w:rPr>
      </w:pPr>
      <w:r>
        <w:rPr>
          <w:rFonts w:hint="eastAsia" w:ascii="宋体" w:hAnsi="宋体"/>
          <w:b/>
        </w:rPr>
        <w:t>检测</w:t>
      </w:r>
    </w:p>
    <w:p>
      <w:pPr>
        <w:spacing w:line="360" w:lineRule="auto"/>
        <w:ind w:firstLine="566" w:firstLineChars="236"/>
        <w:rPr>
          <w:rFonts w:ascii="宋体" w:hAnsi="宋体"/>
        </w:rPr>
      </w:pPr>
      <w:r>
        <w:rPr>
          <w:rFonts w:hint="eastAsia" w:ascii="宋体" w:hAnsi="宋体"/>
        </w:rPr>
        <w:t>1）《混凝土结构工程施工质量验收规范》GB 50204；</w:t>
      </w:r>
    </w:p>
    <w:p>
      <w:pPr>
        <w:spacing w:line="360" w:lineRule="auto"/>
        <w:ind w:firstLine="566" w:firstLineChars="236"/>
        <w:rPr>
          <w:rFonts w:ascii="宋体" w:hAnsi="宋体"/>
        </w:rPr>
      </w:pPr>
      <w:r>
        <w:rPr>
          <w:rFonts w:hint="eastAsia" w:ascii="宋体" w:hAnsi="宋体"/>
        </w:rPr>
        <w:t>2）《混凝土结构现场检测技术标准》GB/T 50784；</w:t>
      </w:r>
    </w:p>
    <w:p>
      <w:pPr>
        <w:spacing w:line="360" w:lineRule="auto"/>
        <w:ind w:firstLine="566" w:firstLineChars="236"/>
        <w:rPr>
          <w:rFonts w:ascii="宋体" w:hAnsi="宋体"/>
        </w:rPr>
      </w:pPr>
      <w:r>
        <w:rPr>
          <w:rFonts w:hint="eastAsia" w:ascii="宋体" w:hAnsi="宋体"/>
        </w:rPr>
        <w:t>3）《回弹法检测混凝土抗压强度技术规程》DB37/T 2366；</w:t>
      </w:r>
    </w:p>
    <w:p>
      <w:pPr>
        <w:spacing w:line="360" w:lineRule="auto"/>
        <w:ind w:firstLine="566" w:firstLineChars="236"/>
        <w:rPr>
          <w:rFonts w:ascii="宋体" w:hAnsi="宋体"/>
        </w:rPr>
      </w:pPr>
      <w:r>
        <w:rPr>
          <w:rFonts w:hint="eastAsia" w:ascii="宋体" w:hAnsi="宋体"/>
        </w:rPr>
        <w:t>4）《砌体工程现场检测技术标准》GB/T50315</w:t>
      </w:r>
    </w:p>
    <w:p>
      <w:pPr>
        <w:spacing w:line="360" w:lineRule="auto"/>
        <w:ind w:firstLine="566" w:firstLineChars="236"/>
        <w:rPr>
          <w:rFonts w:ascii="宋体" w:hAnsi="宋体"/>
        </w:rPr>
      </w:pPr>
      <w:r>
        <w:rPr>
          <w:rFonts w:hint="eastAsia" w:ascii="宋体" w:hAnsi="宋体"/>
        </w:rPr>
        <w:t>5）《钢结构现场检测技术标准》GB/T50621</w:t>
      </w:r>
    </w:p>
    <w:p>
      <w:pPr>
        <w:spacing w:line="360" w:lineRule="auto"/>
        <w:ind w:firstLine="566" w:firstLineChars="236"/>
        <w:rPr>
          <w:rFonts w:ascii="宋体" w:hAnsi="宋体"/>
        </w:rPr>
      </w:pPr>
      <w:r>
        <w:rPr>
          <w:rFonts w:hint="eastAsia" w:ascii="宋体" w:hAnsi="宋体"/>
        </w:rPr>
        <w:t>本技术规范书中所涉及的规程、规范、标准均有可能被修订，使用本标准的各方应使用标准的最新版本，并应遵守现行与之相关的各种国家和现行标准、规范。</w:t>
      </w:r>
    </w:p>
    <w:p>
      <w:pPr>
        <w:spacing w:line="360" w:lineRule="auto"/>
        <w:ind w:firstLine="566" w:firstLineChars="236"/>
        <w:rPr>
          <w:rFonts w:ascii="宋体" w:hAnsi="宋体"/>
        </w:rPr>
      </w:pPr>
      <w:r>
        <w:rPr>
          <w:rFonts w:hint="eastAsia" w:ascii="宋体" w:hAnsi="宋体"/>
        </w:rPr>
        <w:t>3、委托方提供的资料</w:t>
      </w:r>
    </w:p>
    <w:p>
      <w:pPr>
        <w:spacing w:line="360" w:lineRule="auto"/>
        <w:ind w:firstLine="566" w:firstLineChars="236"/>
        <w:rPr>
          <w:rFonts w:ascii="宋体" w:hAnsi="宋体"/>
        </w:rPr>
      </w:pPr>
      <w:r>
        <w:rPr>
          <w:rFonts w:hint="eastAsia" w:ascii="宋体" w:hAnsi="宋体"/>
        </w:rPr>
        <w:t>主要包括：施工图阶段详细勘察报告，原主厂房既有建筑、结构施工图，工程竣工验收报告、工艺利旧或改造资料等。以上资料将以附件的形式提供。</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四、采购人要求</w:t>
      </w:r>
    </w:p>
    <w:p>
      <w:pPr>
        <w:spacing w:line="360" w:lineRule="auto"/>
        <w:ind w:firstLine="566" w:firstLineChars="236"/>
        <w:rPr>
          <w:rFonts w:ascii="宋体" w:hAnsi="宋体"/>
        </w:rPr>
      </w:pPr>
      <w:r>
        <w:rPr>
          <w:rFonts w:hint="eastAsia" w:ascii="宋体" w:hAnsi="宋体"/>
        </w:rPr>
        <w:t>供应商应充分考虑建筑物结构荷载检测鉴定服务工作的基本要求，充分意识到建筑物荷载鉴定工作对该光伏项目在立项、开工前、施工中以及项目完工并网验收后各个阶段的重要意义及影响。</w:t>
      </w:r>
    </w:p>
    <w:p>
      <w:pPr>
        <w:spacing w:line="360" w:lineRule="auto"/>
        <w:ind w:firstLine="566" w:firstLineChars="236"/>
        <w:rPr>
          <w:rFonts w:ascii="宋体" w:hAnsi="宋体"/>
        </w:rPr>
      </w:pPr>
      <w:r>
        <w:rPr>
          <w:rFonts w:hint="eastAsia" w:ascii="宋体" w:hAnsi="宋体"/>
        </w:rPr>
        <w:t>1、建筑物荷载鉴定工作原则要求</w:t>
      </w:r>
    </w:p>
    <w:p>
      <w:pPr>
        <w:spacing w:line="360" w:lineRule="auto"/>
        <w:ind w:firstLine="566" w:firstLineChars="236"/>
        <w:rPr>
          <w:rFonts w:ascii="宋体" w:hAnsi="宋体"/>
        </w:rPr>
      </w:pPr>
      <w:r>
        <w:rPr>
          <w:rFonts w:hint="eastAsia" w:ascii="宋体" w:hAnsi="宋体"/>
        </w:rPr>
        <w:t>供应商提供本合同项目下建筑物结构荷载检测鉴定服务工作时，应当遵循下列原则要求</w:t>
      </w:r>
    </w:p>
    <w:p>
      <w:pPr>
        <w:spacing w:line="360" w:lineRule="auto"/>
        <w:ind w:firstLine="566" w:firstLineChars="236"/>
        <w:rPr>
          <w:rFonts w:ascii="宋体" w:hAnsi="宋体"/>
        </w:rPr>
      </w:pPr>
      <w:r>
        <w:rPr>
          <w:rFonts w:hint="eastAsia" w:ascii="宋体" w:hAnsi="宋体"/>
        </w:rPr>
        <w:t>1.1、现场检测</w:t>
      </w:r>
    </w:p>
    <w:p>
      <w:pPr>
        <w:spacing w:line="360" w:lineRule="auto"/>
        <w:ind w:firstLine="566" w:firstLineChars="236"/>
        <w:rPr>
          <w:rFonts w:ascii="宋体" w:hAnsi="宋体"/>
        </w:rPr>
      </w:pPr>
      <w:r>
        <w:rPr>
          <w:rFonts w:hint="eastAsia" w:ascii="宋体" w:hAnsi="宋体"/>
        </w:rPr>
        <w:t>依据现行相关规范、标准、技术规程，以及目前国内现有的检测技术水平，对该所有拟安装屋顶光伏发电设施的建筑进行现场随机抽查检测。包括但不限于：结构布置、混凝土强度、钢筋配置、构件尺寸、构件变形、整体倾斜、外观质量以及现场可能发现的其它工程质量问题等。</w:t>
      </w:r>
    </w:p>
    <w:p>
      <w:pPr>
        <w:spacing w:line="360" w:lineRule="auto"/>
        <w:ind w:firstLine="566" w:firstLineChars="236"/>
        <w:rPr>
          <w:rFonts w:ascii="宋体" w:hAnsi="宋体"/>
        </w:rPr>
      </w:pPr>
      <w:r>
        <w:rPr>
          <w:rFonts w:hint="eastAsia" w:ascii="宋体" w:hAnsi="宋体"/>
        </w:rPr>
        <w:t>1）结构布置根据设计图纸，现场对该工程结构布置进行检查，确定结构布置是否符合设计要求。</w:t>
      </w:r>
    </w:p>
    <w:p>
      <w:pPr>
        <w:spacing w:line="360" w:lineRule="auto"/>
        <w:ind w:firstLine="566" w:firstLineChars="236"/>
        <w:rPr>
          <w:rFonts w:ascii="宋体" w:hAnsi="宋体"/>
        </w:rPr>
      </w:pPr>
      <w:r>
        <w:rPr>
          <w:rFonts w:hint="eastAsia" w:ascii="宋体" w:hAnsi="宋体"/>
        </w:rPr>
        <w:t>2）混凝土强度对工程混凝土强度进行随机抽查检测，并综合评定。</w:t>
      </w:r>
    </w:p>
    <w:p>
      <w:pPr>
        <w:spacing w:line="360" w:lineRule="auto"/>
        <w:ind w:firstLine="566" w:firstLineChars="236"/>
        <w:rPr>
          <w:rFonts w:ascii="宋体" w:hAnsi="宋体"/>
        </w:rPr>
      </w:pPr>
      <w:r>
        <w:rPr>
          <w:rFonts w:hint="eastAsia" w:ascii="宋体" w:hAnsi="宋体"/>
        </w:rPr>
        <w:t>3）钢筋配置情况对工程主要结构构件中钢筋的数量、箍筋间距、受力筋间距、梁板底部纵筋保护层厚度进行检测。</w:t>
      </w:r>
    </w:p>
    <w:p>
      <w:pPr>
        <w:spacing w:line="360" w:lineRule="auto"/>
        <w:ind w:firstLine="566" w:firstLineChars="236"/>
        <w:rPr>
          <w:rFonts w:ascii="宋体" w:hAnsi="宋体"/>
        </w:rPr>
      </w:pPr>
      <w:r>
        <w:rPr>
          <w:rFonts w:hint="eastAsia" w:ascii="宋体" w:hAnsi="宋体"/>
        </w:rPr>
        <w:t>4）构件尺寸对工程混凝土构件截面尺寸进行检测，确定是否符合原设计及规范要求。</w:t>
      </w:r>
    </w:p>
    <w:p>
      <w:pPr>
        <w:spacing w:line="360" w:lineRule="auto"/>
        <w:ind w:firstLine="566" w:firstLineChars="236"/>
        <w:rPr>
          <w:rFonts w:ascii="宋体" w:hAnsi="宋体"/>
        </w:rPr>
      </w:pPr>
      <w:r>
        <w:rPr>
          <w:rFonts w:hint="eastAsia" w:ascii="宋体" w:hAnsi="宋体"/>
        </w:rPr>
        <w:t>5）构件变形、损伤及其它现场检查结构构件的外观质量、构件的挠度、损伤、变形等情况，并结合相关规范判定基础工作情况以及其工作状况等。</w:t>
      </w:r>
    </w:p>
    <w:p>
      <w:pPr>
        <w:spacing w:line="360" w:lineRule="auto"/>
        <w:ind w:firstLine="566" w:firstLineChars="236"/>
        <w:rPr>
          <w:rFonts w:ascii="宋体" w:hAnsi="宋体"/>
        </w:rPr>
      </w:pPr>
      <w:r>
        <w:rPr>
          <w:rFonts w:hint="eastAsia" w:ascii="宋体" w:hAnsi="宋体"/>
        </w:rPr>
        <w:t>6）整体倾斜对工程的整体倾斜情况进行检测（含外墙装修的施工误差）。</w:t>
      </w:r>
    </w:p>
    <w:p>
      <w:pPr>
        <w:spacing w:line="360" w:lineRule="auto"/>
        <w:ind w:firstLine="566" w:firstLineChars="236"/>
        <w:rPr>
          <w:rFonts w:ascii="宋体" w:hAnsi="宋体"/>
        </w:rPr>
      </w:pPr>
      <w:r>
        <w:rPr>
          <w:rFonts w:hint="eastAsia" w:ascii="宋体" w:hAnsi="宋体"/>
        </w:rPr>
        <w:t>2建筑物荷载鉴定内容及范围</w:t>
      </w:r>
    </w:p>
    <w:p>
      <w:pPr>
        <w:spacing w:line="360" w:lineRule="auto"/>
        <w:ind w:firstLine="566" w:firstLineChars="236"/>
        <w:rPr>
          <w:rFonts w:ascii="宋体" w:hAnsi="宋体"/>
        </w:rPr>
      </w:pPr>
      <w:r>
        <w:rPr>
          <w:rFonts w:hint="eastAsia" w:ascii="宋体" w:hAnsi="宋体"/>
        </w:rPr>
        <w:t>2.1包含但不限于以下范围：</w:t>
      </w:r>
    </w:p>
    <w:p>
      <w:pPr>
        <w:spacing w:line="360" w:lineRule="auto"/>
        <w:ind w:firstLine="566" w:firstLineChars="236"/>
        <w:rPr>
          <w:rFonts w:ascii="宋体" w:hAnsi="宋体"/>
        </w:rPr>
      </w:pPr>
      <w:r>
        <w:rPr>
          <w:rFonts w:hint="eastAsia" w:ascii="宋体" w:hAnsi="宋体"/>
        </w:rPr>
        <w:t>合同签订后，现场检测鉴定直至满足采购人光伏电站投资需求的建筑物（含钢结构厂房）建筑结构校核结论报告及检测鉴定报告，如不满足加装光伏版安全需要，采购人加固方案实施后，供应商应出具符合安装光伏的建筑结构校核结论报告及检测鉴定报告。</w:t>
      </w:r>
    </w:p>
    <w:p>
      <w:pPr>
        <w:spacing w:line="360" w:lineRule="auto"/>
        <w:ind w:firstLine="566" w:firstLineChars="236"/>
        <w:rPr>
          <w:rFonts w:ascii="宋体" w:hAnsi="宋体"/>
        </w:rPr>
      </w:pPr>
      <w:r>
        <w:rPr>
          <w:rFonts w:hint="eastAsia" w:ascii="宋体" w:hAnsi="宋体"/>
        </w:rPr>
        <w:t>2.2采购人不保证提供建筑图纸。</w:t>
      </w:r>
    </w:p>
    <w:p>
      <w:pPr>
        <w:spacing w:line="360" w:lineRule="auto"/>
        <w:ind w:firstLine="566" w:firstLineChars="236"/>
        <w:rPr>
          <w:rFonts w:ascii="宋体" w:hAnsi="宋体"/>
        </w:rPr>
      </w:pPr>
      <w:r>
        <w:rPr>
          <w:rFonts w:hint="eastAsia" w:ascii="宋体" w:hAnsi="宋体"/>
        </w:rPr>
        <w:t>3其他要求：</w:t>
      </w:r>
    </w:p>
    <w:p>
      <w:pPr>
        <w:spacing w:line="360" w:lineRule="auto"/>
        <w:ind w:firstLine="566" w:firstLineChars="236"/>
        <w:rPr>
          <w:rFonts w:ascii="宋体" w:hAnsi="宋体"/>
        </w:rPr>
      </w:pPr>
      <w:r>
        <w:rPr>
          <w:rFonts w:hint="eastAsia" w:ascii="宋体" w:hAnsi="宋体"/>
        </w:rPr>
        <w:t>中标通知发出后，中标方应在接到采购人通知次日到达现场进行检测鉴定，并在2日内完成建筑物荷载鉴定工作，告知采购人鉴定结果。正式盖章版建筑结构校核结论报告及检测鉴定报告。待采购人通知后2日内出具</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五、交付地点</w:t>
      </w:r>
    </w:p>
    <w:p>
      <w:pPr>
        <w:spacing w:line="360" w:lineRule="auto"/>
        <w:ind w:firstLine="566" w:firstLineChars="236"/>
        <w:rPr>
          <w:rFonts w:ascii="宋体" w:hAnsi="宋体"/>
        </w:rPr>
      </w:pPr>
      <w:r>
        <w:rPr>
          <w:rFonts w:hint="eastAsia" w:ascii="宋体" w:hAnsi="宋体"/>
        </w:rPr>
        <w:t>河南省济源市</w:t>
      </w:r>
      <w:r>
        <w:rPr>
          <w:rFonts w:ascii="宋体" w:hAnsi="宋体"/>
        </w:rPr>
        <w:t>五龙口镇华能</w:t>
      </w:r>
      <w:r>
        <w:rPr>
          <w:rFonts w:hint="eastAsia" w:ascii="宋体" w:hAnsi="宋体"/>
        </w:rPr>
        <w:t>沁北电厂</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六、双方职责</w:t>
      </w:r>
    </w:p>
    <w:p>
      <w:pPr>
        <w:spacing w:line="360" w:lineRule="auto"/>
        <w:ind w:firstLine="566" w:firstLineChars="236"/>
        <w:rPr>
          <w:rFonts w:ascii="宋体" w:hAnsi="宋体"/>
        </w:rPr>
      </w:pPr>
      <w:r>
        <w:rPr>
          <w:rFonts w:hint="eastAsia" w:ascii="宋体" w:hAnsi="宋体"/>
        </w:rPr>
        <w:t>1、采购人职责：</w:t>
      </w:r>
    </w:p>
    <w:p>
      <w:pPr>
        <w:spacing w:line="360" w:lineRule="auto"/>
        <w:ind w:firstLine="566" w:firstLineChars="236"/>
        <w:rPr>
          <w:rFonts w:ascii="宋体" w:hAnsi="宋体"/>
        </w:rPr>
      </w:pPr>
      <w:r>
        <w:rPr>
          <w:rFonts w:hint="eastAsia" w:ascii="宋体" w:hAnsi="宋体"/>
        </w:rPr>
        <w:t>1) 供应商人员来厂工作时，采购人人员应积极配合做好组织协调和联络工作。</w:t>
      </w:r>
    </w:p>
    <w:p>
      <w:pPr>
        <w:spacing w:line="360" w:lineRule="auto"/>
        <w:ind w:firstLine="566" w:firstLineChars="236"/>
        <w:rPr>
          <w:rFonts w:ascii="宋体" w:hAnsi="宋体"/>
        </w:rPr>
      </w:pPr>
      <w:r>
        <w:rPr>
          <w:rFonts w:hint="eastAsia" w:ascii="宋体" w:hAnsi="宋体"/>
        </w:rPr>
        <w:t>2) 采购人应向供应商提供采购人收集到的技术资料以及图实相符的文件。</w:t>
      </w:r>
    </w:p>
    <w:p>
      <w:pPr>
        <w:spacing w:line="360" w:lineRule="auto"/>
        <w:ind w:firstLine="566" w:firstLineChars="236"/>
        <w:rPr>
          <w:rFonts w:ascii="宋体" w:hAnsi="宋体"/>
        </w:rPr>
      </w:pPr>
      <w:r>
        <w:rPr>
          <w:rFonts w:hint="eastAsia" w:ascii="宋体" w:hAnsi="宋体"/>
        </w:rPr>
        <w:t>3) 供应商人员来厂工作时，采购人提供食宿方便，费用供应商自理。</w:t>
      </w:r>
    </w:p>
    <w:p>
      <w:pPr>
        <w:spacing w:line="360" w:lineRule="auto"/>
        <w:ind w:firstLine="566" w:firstLineChars="236"/>
        <w:rPr>
          <w:rFonts w:ascii="宋体" w:hAnsi="宋体"/>
        </w:rPr>
      </w:pPr>
      <w:r>
        <w:rPr>
          <w:rFonts w:hint="eastAsia" w:ascii="宋体" w:hAnsi="宋体"/>
        </w:rPr>
        <w:t>4) 交通运输、通讯、办公费用供应商自理；供应商人员进出厂区以及工作区域应遵守采购人的有关规定，采购人应提供相应的要求与协助。</w:t>
      </w:r>
    </w:p>
    <w:p>
      <w:pPr>
        <w:spacing w:line="360" w:lineRule="auto"/>
        <w:ind w:firstLine="566" w:firstLineChars="236"/>
        <w:rPr>
          <w:rFonts w:ascii="宋体" w:hAnsi="宋体"/>
        </w:rPr>
      </w:pPr>
      <w:r>
        <w:rPr>
          <w:rFonts w:hint="eastAsia" w:ascii="宋体" w:hAnsi="宋体"/>
        </w:rPr>
        <w:t>5) 按合同规定及时支付合同费用。</w:t>
      </w:r>
    </w:p>
    <w:p>
      <w:pPr>
        <w:spacing w:line="360" w:lineRule="auto"/>
        <w:ind w:firstLine="566" w:firstLineChars="236"/>
        <w:rPr>
          <w:rFonts w:ascii="宋体" w:hAnsi="宋体"/>
        </w:rPr>
      </w:pPr>
      <w:r>
        <w:rPr>
          <w:rFonts w:hint="eastAsia" w:ascii="宋体" w:hAnsi="宋体"/>
        </w:rPr>
        <w:t>2、供应商职责：</w:t>
      </w:r>
    </w:p>
    <w:p>
      <w:pPr>
        <w:spacing w:line="360" w:lineRule="auto"/>
        <w:ind w:firstLine="566" w:firstLineChars="236"/>
        <w:rPr>
          <w:rFonts w:ascii="宋体" w:hAnsi="宋体"/>
        </w:rPr>
      </w:pPr>
      <w:r>
        <w:rPr>
          <w:rFonts w:hint="eastAsia" w:ascii="宋体" w:hAnsi="宋体"/>
        </w:rPr>
        <w:t>1) 按照国家及华能集团有限公司颁发的国家、行业标准及有关规程、规定、试验导则开展有关检测鉴定工作，检测鉴定工作内容完整、规范。</w:t>
      </w:r>
    </w:p>
    <w:p>
      <w:pPr>
        <w:spacing w:line="360" w:lineRule="auto"/>
        <w:ind w:firstLine="566" w:firstLineChars="236"/>
        <w:rPr>
          <w:rFonts w:ascii="宋体" w:hAnsi="宋体"/>
        </w:rPr>
      </w:pPr>
      <w:r>
        <w:rPr>
          <w:rFonts w:hint="eastAsia" w:ascii="宋体" w:hAnsi="宋体"/>
        </w:rPr>
        <w:t>2) 双方均应认真严格贯彻“安全第一，预防为主”方针，确保工作中人身和设备安全。</w:t>
      </w:r>
    </w:p>
    <w:p>
      <w:pPr>
        <w:spacing w:line="360" w:lineRule="auto"/>
        <w:ind w:firstLine="566" w:firstLineChars="236"/>
        <w:rPr>
          <w:rFonts w:ascii="宋体" w:hAnsi="宋体"/>
        </w:rPr>
      </w:pPr>
      <w:r>
        <w:rPr>
          <w:rFonts w:hint="eastAsia" w:ascii="宋体" w:hAnsi="宋体"/>
        </w:rPr>
        <w:t>3)若发生事故，供应商应立即报告采购人。所产生的处理费用，由供应商负责。</w:t>
      </w:r>
    </w:p>
    <w:p>
      <w:pPr>
        <w:spacing w:line="360" w:lineRule="auto"/>
        <w:ind w:firstLine="566" w:firstLineChars="236"/>
        <w:rPr>
          <w:rFonts w:ascii="宋体" w:hAnsi="宋体"/>
        </w:rPr>
      </w:pPr>
      <w:r>
        <w:rPr>
          <w:rFonts w:hint="eastAsia" w:ascii="宋体" w:hAnsi="宋体"/>
        </w:rPr>
        <w:t>4)供应商应为完成建筑物检测鉴定工作，往现场提供足够的在本行业业务熟练、经验丰富的技术人员。检测人员资质需报送采购人审查同意后方可进入现场开展相关工作。</w:t>
      </w:r>
    </w:p>
    <w:p>
      <w:pPr>
        <w:spacing w:line="360" w:lineRule="auto"/>
        <w:ind w:firstLine="566" w:firstLineChars="236"/>
        <w:rPr>
          <w:rFonts w:ascii="宋体" w:hAnsi="宋体"/>
        </w:rPr>
      </w:pPr>
      <w:r>
        <w:rPr>
          <w:rFonts w:hint="eastAsia" w:ascii="宋体" w:hAnsi="宋体"/>
        </w:rPr>
        <w:t>6)供应商必须按采购人确认的进度计划组织工作，接受采购人对进度的检查、监督。如采购人认为供应商检测工作进度滞后，则采购人应将此情况通知供应商，而供应商应据此采取采购人同意的必要步骤和措施，以加快工作进度，使工作能在预定的工期内完工，且由此发生的费用已含在合同单价中，合同价款不予调整。</w:t>
      </w:r>
    </w:p>
    <w:p>
      <w:pPr>
        <w:pStyle w:val="101"/>
        <w:autoSpaceDE w:val="0"/>
        <w:autoSpaceDN w:val="0"/>
        <w:snapToGrid w:val="0"/>
        <w:ind w:firstLine="0"/>
        <w:outlineLvl w:val="0"/>
        <w:rPr>
          <w:rFonts w:hint="default" w:asciiTheme="minorEastAsia" w:hAnsiTheme="minorEastAsia" w:eastAsiaTheme="minorEastAsia"/>
          <w:b/>
          <w:sz w:val="24"/>
          <w:szCs w:val="24"/>
          <w:shd w:val="clear" w:color="auto" w:fill="FFFFFF"/>
        </w:rPr>
      </w:pPr>
      <w:r>
        <w:rPr>
          <w:rFonts w:asciiTheme="minorEastAsia" w:hAnsiTheme="minorEastAsia" w:eastAsiaTheme="minorEastAsia"/>
          <w:b/>
          <w:sz w:val="24"/>
          <w:szCs w:val="24"/>
          <w:shd w:val="clear" w:color="auto" w:fill="FFFFFF"/>
        </w:rPr>
        <w:t>七、双方应遵守的保密义务</w:t>
      </w:r>
    </w:p>
    <w:p>
      <w:pPr>
        <w:spacing w:line="360" w:lineRule="auto"/>
        <w:ind w:firstLine="566" w:firstLineChars="236"/>
        <w:rPr>
          <w:rFonts w:ascii="宋体" w:hAnsi="宋体"/>
        </w:rPr>
      </w:pPr>
      <w:r>
        <w:rPr>
          <w:rFonts w:hint="eastAsia" w:ascii="宋体" w:hAnsi="宋体"/>
        </w:rPr>
        <w:t>1、保密内容：</w:t>
      </w:r>
    </w:p>
    <w:p>
      <w:pPr>
        <w:spacing w:line="360" w:lineRule="auto"/>
        <w:ind w:firstLine="566" w:firstLineChars="236"/>
        <w:rPr>
          <w:rFonts w:ascii="宋体" w:hAnsi="宋体"/>
        </w:rPr>
      </w:pPr>
      <w:r>
        <w:rPr>
          <w:rFonts w:hint="eastAsia" w:ascii="宋体" w:hAnsi="宋体"/>
        </w:rPr>
        <w:t>1）采购人或设备生产厂家具有专利的技术项目。</w:t>
      </w:r>
    </w:p>
    <w:p>
      <w:pPr>
        <w:spacing w:line="360" w:lineRule="auto"/>
        <w:ind w:firstLine="566" w:firstLineChars="236"/>
        <w:rPr>
          <w:rFonts w:ascii="宋体" w:hAnsi="宋体"/>
        </w:rPr>
      </w:pPr>
      <w:r>
        <w:rPr>
          <w:rFonts w:hint="eastAsia" w:ascii="宋体" w:hAnsi="宋体"/>
        </w:rPr>
        <w:t>2）采购人确定不可外泄的设备状况。</w:t>
      </w:r>
    </w:p>
    <w:p>
      <w:pPr>
        <w:spacing w:line="360" w:lineRule="auto"/>
        <w:ind w:firstLine="566" w:firstLineChars="236"/>
        <w:rPr>
          <w:rFonts w:ascii="宋体" w:hAnsi="宋体"/>
        </w:rPr>
      </w:pPr>
      <w:r>
        <w:rPr>
          <w:rFonts w:hint="eastAsia" w:ascii="宋体" w:hAnsi="宋体"/>
        </w:rPr>
        <w:t>3）采购人委托供应商出具检测鉴定报告的建筑物施工图、竣工图。</w:t>
      </w:r>
    </w:p>
    <w:p>
      <w:pPr>
        <w:spacing w:line="360" w:lineRule="auto"/>
        <w:ind w:firstLine="566" w:firstLineChars="236"/>
        <w:rPr>
          <w:rFonts w:ascii="宋体" w:hAnsi="宋体"/>
        </w:rPr>
      </w:pPr>
      <w:r>
        <w:rPr>
          <w:rFonts w:hint="eastAsia" w:ascii="宋体" w:hAnsi="宋体"/>
        </w:rPr>
        <w:t>2、涉密人员范围：省内外同类电力企业。</w:t>
      </w:r>
    </w:p>
    <w:p>
      <w:pPr>
        <w:spacing w:line="360" w:lineRule="auto"/>
        <w:ind w:firstLine="566" w:firstLineChars="236"/>
        <w:rPr>
          <w:rFonts w:ascii="宋体" w:hAnsi="宋体"/>
        </w:rPr>
      </w:pPr>
      <w:r>
        <w:rPr>
          <w:rFonts w:hint="eastAsia" w:ascii="宋体" w:hAnsi="宋体"/>
        </w:rPr>
        <w:t>3、保密期限：长期。</w:t>
      </w:r>
    </w:p>
    <w:p>
      <w:pPr>
        <w:spacing w:line="360" w:lineRule="auto"/>
        <w:ind w:firstLine="566" w:firstLineChars="236"/>
        <w:rPr>
          <w:rFonts w:ascii="宋体" w:hAnsi="宋体"/>
        </w:rPr>
      </w:pPr>
      <w:r>
        <w:rPr>
          <w:rFonts w:ascii="宋体" w:hAnsi="宋体"/>
        </w:rPr>
        <w:br w:type="page"/>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5"/>
        <w:spacing w:before="120"/>
        <w:rPr>
          <w:rFonts w:ascii="宋体" w:hAnsi="宋体"/>
          <w:szCs w:val="24"/>
        </w:rPr>
      </w:pPr>
      <w:bookmarkStart w:id="90" w:name="_Toc98316860"/>
      <w:r>
        <w:t>第</w:t>
      </w:r>
      <w:r>
        <w:rPr>
          <w:rFonts w:hint="eastAsia"/>
        </w:rPr>
        <w:t>六</w:t>
      </w:r>
      <w:r>
        <w:t>章 响应文件格式</w:t>
      </w:r>
      <w:bookmarkEnd w:id="90"/>
      <w:r>
        <w:rPr>
          <w:rFonts w:ascii="宋体" w:hAnsi="宋体"/>
          <w:szCs w:val="24"/>
        </w:rPr>
        <w:br w:type="page"/>
      </w:r>
    </w:p>
    <w:p>
      <w:pPr>
        <w:ind w:firstLine="480"/>
        <w:rPr>
          <w:rFonts w:ascii="宋体" w:hAnsi="宋体"/>
          <w:szCs w:val="24"/>
        </w:rPr>
      </w:pPr>
    </w:p>
    <w:p>
      <w:pPr>
        <w:pStyle w:val="12"/>
        <w:ind w:firstLine="0" w:firstLineChars="0"/>
        <w:jc w:val="center"/>
        <w:rPr>
          <w:rFonts w:ascii="宋体" w:hAnsi="宋体" w:cs="Arial"/>
          <w:b/>
          <w:sz w:val="48"/>
        </w:rPr>
      </w:pPr>
      <w:bookmarkStart w:id="91" w:name="_Toc453162709"/>
      <w:bookmarkStart w:id="92" w:name="_Toc453162622"/>
      <w:bookmarkStart w:id="93" w:name="_Toc453079648"/>
      <w:r>
        <w:rPr>
          <w:rFonts w:hint="eastAsia" w:ascii="宋体" w:hAnsi="宋体" w:cs="Arial"/>
          <w:b/>
          <w:sz w:val="48"/>
        </w:rPr>
        <w:t>沁北电厂厂区分布式光伏发电项目可行性研究报告编制</w:t>
      </w:r>
    </w:p>
    <w:p>
      <w:pPr>
        <w:pStyle w:val="12"/>
        <w:ind w:firstLine="0" w:firstLineChars="0"/>
        <w:jc w:val="center"/>
        <w:rPr>
          <w:rFonts w:ascii="黑体" w:hAnsi="黑体" w:eastAsia="黑体" w:cs="Arial"/>
          <w:sz w:val="84"/>
          <w:szCs w:val="84"/>
        </w:rPr>
      </w:pPr>
      <w:r>
        <w:rPr>
          <w:rFonts w:hint="eastAsia" w:ascii="黑体" w:hAnsi="黑体" w:eastAsia="黑体" w:cs="Arial"/>
          <w:sz w:val="84"/>
          <w:szCs w:val="84"/>
        </w:rPr>
        <w:t xml:space="preserve">响 应 </w:t>
      </w:r>
      <w:r>
        <w:rPr>
          <w:rFonts w:ascii="黑体" w:hAnsi="黑体" w:eastAsia="黑体" w:cs="Arial"/>
          <w:sz w:val="84"/>
          <w:szCs w:val="84"/>
        </w:rPr>
        <w:t>文件</w:t>
      </w:r>
    </w:p>
    <w:p>
      <w:pPr>
        <w:pStyle w:val="12"/>
        <w:ind w:firstLine="0" w:firstLineChars="0"/>
        <w:jc w:val="center"/>
        <w:rPr>
          <w:rFonts w:ascii="黑体" w:hAnsi="黑体" w:eastAsia="黑体" w:cs="Arial"/>
          <w:sz w:val="32"/>
          <w:szCs w:val="32"/>
          <w:u w:val="single"/>
        </w:rPr>
      </w:pPr>
      <w:r>
        <w:rPr>
          <w:rFonts w:hint="eastAsia" w:ascii="黑体" w:hAnsi="黑体" w:eastAsia="黑体" w:cs="Arial"/>
          <w:sz w:val="32"/>
          <w:szCs w:val="32"/>
        </w:rPr>
        <w:t>采购</w:t>
      </w:r>
      <w:r>
        <w:rPr>
          <w:rFonts w:ascii="黑体" w:hAnsi="黑体" w:eastAsia="黑体" w:cs="Arial"/>
          <w:sz w:val="32"/>
          <w:szCs w:val="32"/>
        </w:rPr>
        <w:t>编号：</w:t>
      </w: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rPr>
      </w:pPr>
    </w:p>
    <w:p>
      <w:pPr>
        <w:pStyle w:val="12"/>
        <w:ind w:left="119" w:firstLine="0" w:firstLineChars="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hint="eastAsia" w:ascii="宋体" w:hAnsi="宋体" w:cs="Arial"/>
          <w:sz w:val="28"/>
          <w:szCs w:val="28"/>
          <w:u w:val="single"/>
        </w:rPr>
        <w:t xml:space="preserve">       （盖章）</w:t>
      </w:r>
    </w:p>
    <w:p>
      <w:pPr>
        <w:pStyle w:val="12"/>
        <w:ind w:firstLine="0" w:firstLineChars="0"/>
        <w:jc w:val="center"/>
        <w:rPr>
          <w:rFonts w:ascii="宋体" w:hAnsi="宋体" w:cs="Arial"/>
          <w:sz w:val="28"/>
          <w:szCs w:val="28"/>
        </w:rPr>
      </w:pPr>
      <w:r>
        <w:rPr>
          <w:rFonts w:ascii="宋体" w:hAnsi="宋体" w:cs="Arial"/>
          <w:sz w:val="28"/>
          <w:szCs w:val="28"/>
        </w:rPr>
        <w:t>日 期：年月日</w:t>
      </w:r>
    </w:p>
    <w:p>
      <w:pPr>
        <w:ind w:firstLine="480"/>
        <w:jc w:val="center"/>
        <w:rPr>
          <w:rFonts w:ascii="黑体" w:hAnsi="黑体" w:eastAsia="黑体"/>
        </w:rPr>
      </w:pPr>
      <w:r>
        <w:rPr>
          <w:color w:val="000000"/>
        </w:rPr>
        <w:br w:type="page"/>
      </w:r>
      <w:bookmarkEnd w:id="91"/>
      <w:bookmarkEnd w:id="92"/>
      <w:bookmarkEnd w:id="93"/>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ind w:firstLine="480"/>
      </w:pPr>
      <w:r>
        <w:rPr>
          <w:rFonts w:hint="eastAsia"/>
        </w:rPr>
        <w:t>五、偏差表</w:t>
      </w:r>
    </w:p>
    <w:p>
      <w:pPr>
        <w:ind w:firstLine="480"/>
      </w:pPr>
    </w:p>
    <w:p>
      <w:pPr>
        <w:pStyle w:val="3"/>
        <w:spacing w:before="120"/>
        <w:rPr>
          <w:color w:val="000000"/>
        </w:rPr>
      </w:pPr>
      <w:r>
        <w:br w:type="page"/>
      </w:r>
      <w:bookmarkStart w:id="94" w:name="_Toc352691660"/>
      <w:bookmarkEnd w:id="94"/>
      <w:bookmarkStart w:id="95" w:name="_Toc369531695"/>
      <w:bookmarkEnd w:id="95"/>
      <w:bookmarkStart w:id="96" w:name="_Toc352691659"/>
      <w:bookmarkEnd w:id="96"/>
      <w:bookmarkStart w:id="97" w:name="_Toc16824"/>
      <w:bookmarkEnd w:id="97"/>
      <w:bookmarkStart w:id="98" w:name="_Toc16568"/>
      <w:bookmarkEnd w:id="98"/>
      <w:bookmarkStart w:id="99" w:name="_Toc369531696"/>
      <w:bookmarkEnd w:id="99"/>
      <w:bookmarkStart w:id="100" w:name="_Toc98316861"/>
      <w:bookmarkStart w:id="101" w:name="_Toc527560962"/>
      <w:r>
        <w:rPr>
          <w:rFonts w:hint="eastAsia"/>
        </w:rPr>
        <w:t>一</w:t>
      </w:r>
      <w:r>
        <w:t>、授权委托书</w:t>
      </w:r>
      <w:bookmarkEnd w:id="100"/>
      <w:bookmarkEnd w:id="101"/>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采购项目</w:t>
      </w:r>
      <w:r>
        <w:t>响应文件、签订合同和处理有关事宜，其法律后果由我方承担。</w:t>
      </w:r>
    </w:p>
    <w:p>
      <w:pPr>
        <w:ind w:firstLine="480"/>
      </w:pPr>
      <w:r>
        <w:t>委托期限：</w:t>
      </w:r>
      <w:r>
        <w:rPr>
          <w:rFonts w:hint="eastAsia"/>
        </w:rPr>
        <w:t>。</w:t>
      </w:r>
    </w:p>
    <w:p>
      <w:pPr>
        <w:ind w:firstLine="480"/>
      </w:pPr>
      <w:r>
        <w:t>代理人无转委托权。</w:t>
      </w:r>
    </w:p>
    <w:p>
      <w:pPr>
        <w:ind w:firstLine="482"/>
        <w:rPr>
          <w:b/>
        </w:rPr>
      </w:pPr>
      <w:r>
        <w:rPr>
          <w:rFonts w:hint="eastAsia"/>
          <w:b/>
        </w:rPr>
        <w:t>附：法定代表人（单位负责人）身份证复印件及委托代理人身份证复印件</w:t>
      </w:r>
    </w:p>
    <w:p>
      <w:pPr>
        <w:ind w:firstLine="480"/>
      </w:pPr>
    </w:p>
    <w:p>
      <w:pPr>
        <w:ind w:firstLine="482"/>
        <w:rPr>
          <w:b/>
        </w:rPr>
      </w:pPr>
      <w:r>
        <w:rPr>
          <w:rFonts w:hint="eastAsia"/>
          <w:b/>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firstLine="3076" w:firstLineChars="1282"/>
        <w:rPr>
          <w:color w:val="000000"/>
        </w:rPr>
      </w:pPr>
    </w:p>
    <w:p>
      <w:pPr>
        <w:ind w:firstLine="3076" w:firstLineChars="1282"/>
        <w:rPr>
          <w:color w:val="000000"/>
        </w:rPr>
      </w:pPr>
    </w:p>
    <w:p>
      <w:pPr>
        <w:ind w:firstLine="4876" w:firstLineChars="2032"/>
        <w:rPr>
          <w:color w:val="000000"/>
        </w:rPr>
      </w:pPr>
      <w:r>
        <w:rPr>
          <w:color w:val="000000"/>
        </w:rPr>
        <w:t>年月日</w:t>
      </w:r>
    </w:p>
    <w:p>
      <w:pPr>
        <w:spacing w:line="400" w:lineRule="exact"/>
        <w:ind w:firstLine="480"/>
        <w:rPr>
          <w:color w:val="000000"/>
        </w:rPr>
      </w:pPr>
    </w:p>
    <w:p>
      <w:pPr>
        <w:spacing w:line="400" w:lineRule="exact"/>
        <w:ind w:firstLine="482"/>
        <w:rPr>
          <w:b/>
        </w:rPr>
      </w:pPr>
      <w:r>
        <w:rPr>
          <w:rFonts w:hint="eastAsia"/>
          <w:b/>
        </w:rPr>
        <w:t>注：如供应商法定代表人参加采购行为，只需附其身份证复印件。</w:t>
      </w:r>
    </w:p>
    <w:p>
      <w:pPr>
        <w:pStyle w:val="3"/>
        <w:spacing w:before="120"/>
      </w:pPr>
      <w:bookmarkStart w:id="102" w:name="_Toc510370158"/>
      <w:bookmarkStart w:id="103" w:name="_Toc527560963"/>
      <w:r>
        <w:br w:type="page"/>
      </w:r>
      <w:bookmarkStart w:id="104" w:name="_Toc98316862"/>
      <w:r>
        <w:rPr>
          <w:rFonts w:hint="eastAsia"/>
        </w:rPr>
        <w:t>二、报价部分</w:t>
      </w:r>
      <w:bookmarkEnd w:id="102"/>
      <w:bookmarkEnd w:id="103"/>
      <w:bookmarkEnd w:id="104"/>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05" w:name="_Toc354089004"/>
      <w:r>
        <w:rPr>
          <w:rFonts w:hint="eastAsia"/>
        </w:rPr>
        <w:t>2</w:t>
      </w:r>
      <w:r>
        <w:t>.</w:t>
      </w:r>
      <w:r>
        <w:rPr>
          <w:rFonts w:hint="eastAsia"/>
        </w:rPr>
        <w:t>响应报价表</w:t>
      </w:r>
      <w:bookmarkEnd w:id="105"/>
    </w:p>
    <w:p>
      <w:pPr>
        <w:ind w:firstLine="480"/>
      </w:pPr>
      <w:r>
        <w:rPr>
          <w:rFonts w:hint="eastAsia"/>
        </w:rPr>
        <w:t>2.1报价汇总表（格式）</w:t>
      </w:r>
    </w:p>
    <w:p>
      <w:pPr>
        <w:pStyle w:val="67"/>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spacing w:line="360" w:lineRule="auto"/>
        <w:ind w:firstLine="420"/>
        <w:jc w:val="right"/>
        <w:rPr>
          <w:b/>
          <w:szCs w:val="21"/>
          <w:u w:val="single"/>
        </w:rPr>
      </w:pPr>
      <w:r>
        <w:rPr>
          <w:rFonts w:hint="eastAsia" w:cs="Arial"/>
          <w:sz w:val="21"/>
          <w:szCs w:val="21"/>
        </w:rPr>
        <w:t>单位：人民币元</w:t>
      </w:r>
    </w:p>
    <w:tbl>
      <w:tblPr>
        <w:tblStyle w:val="29"/>
        <w:tblW w:w="9520" w:type="dxa"/>
        <w:tblInd w:w="93" w:type="dxa"/>
        <w:tblLayout w:type="autofit"/>
        <w:tblCellMar>
          <w:top w:w="0" w:type="dxa"/>
          <w:left w:w="108" w:type="dxa"/>
          <w:bottom w:w="0" w:type="dxa"/>
          <w:right w:w="108" w:type="dxa"/>
        </w:tblCellMar>
      </w:tblPr>
      <w:tblGrid>
        <w:gridCol w:w="1080"/>
        <w:gridCol w:w="2640"/>
        <w:gridCol w:w="1260"/>
        <w:gridCol w:w="840"/>
        <w:gridCol w:w="1100"/>
        <w:gridCol w:w="1380"/>
        <w:gridCol w:w="1220"/>
      </w:tblGrid>
      <w:tr>
        <w:tblPrEx>
          <w:tblCellMar>
            <w:top w:w="0" w:type="dxa"/>
            <w:left w:w="108" w:type="dxa"/>
            <w:bottom w:w="0" w:type="dxa"/>
            <w:right w:w="108" w:type="dxa"/>
          </w:tblCellMar>
        </w:tblPrEx>
        <w:trPr>
          <w:trHeight w:val="285" w:hRule="atLeast"/>
        </w:trPr>
        <w:tc>
          <w:tcPr>
            <w:tcW w:w="108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64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项目</w:t>
            </w:r>
          </w:p>
        </w:tc>
        <w:tc>
          <w:tcPr>
            <w:tcW w:w="126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84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00" w:type="dxa"/>
            <w:tcBorders>
              <w:top w:val="single" w:color="auto" w:sz="8" w:space="0"/>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报价单价</w:t>
            </w:r>
          </w:p>
        </w:tc>
        <w:tc>
          <w:tcPr>
            <w:tcW w:w="1380" w:type="dxa"/>
            <w:tcBorders>
              <w:top w:val="single" w:color="auto" w:sz="8" w:space="0"/>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报价总价</w:t>
            </w:r>
          </w:p>
        </w:tc>
        <w:tc>
          <w:tcPr>
            <w:tcW w:w="122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5" w:hRule="atLeast"/>
        </w:trPr>
        <w:tc>
          <w:tcPr>
            <w:tcW w:w="108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napToGrid/>
              <w:spacing w:line="240" w:lineRule="auto"/>
              <w:ind w:firstLine="0" w:firstLineChars="0"/>
              <w:jc w:val="left"/>
              <w:rPr>
                <w:rFonts w:ascii="宋体" w:hAnsi="宋体" w:cs="宋体"/>
                <w:color w:val="000000"/>
                <w:kern w:val="0"/>
                <w:sz w:val="22"/>
                <w:szCs w:val="22"/>
              </w:rPr>
            </w:pPr>
          </w:p>
        </w:tc>
        <w:tc>
          <w:tcPr>
            <w:tcW w:w="264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napToGrid/>
              <w:spacing w:line="240" w:lineRule="auto"/>
              <w:ind w:firstLine="0" w:firstLineChars="0"/>
              <w:jc w:val="left"/>
              <w:rPr>
                <w:rFonts w:ascii="宋体" w:hAnsi="宋体" w:cs="宋体"/>
                <w:color w:val="000000"/>
                <w:kern w:val="0"/>
                <w:sz w:val="22"/>
                <w:szCs w:val="22"/>
              </w:rPr>
            </w:pPr>
          </w:p>
        </w:tc>
        <w:tc>
          <w:tcPr>
            <w:tcW w:w="126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napToGrid/>
              <w:spacing w:line="240" w:lineRule="auto"/>
              <w:ind w:firstLine="0" w:firstLineChars="0"/>
              <w:jc w:val="left"/>
              <w:rPr>
                <w:rFonts w:ascii="宋体" w:hAnsi="宋体" w:cs="宋体"/>
                <w:color w:val="000000"/>
                <w:kern w:val="0"/>
                <w:sz w:val="22"/>
                <w:szCs w:val="22"/>
              </w:rPr>
            </w:pPr>
          </w:p>
        </w:tc>
        <w:tc>
          <w:tcPr>
            <w:tcW w:w="84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napToGrid/>
              <w:spacing w:line="240" w:lineRule="auto"/>
              <w:ind w:firstLine="0" w:firstLineChars="0"/>
              <w:jc w:val="left"/>
              <w:rPr>
                <w:rFonts w:ascii="宋体" w:hAnsi="宋体" w:cs="宋体"/>
                <w:color w:val="000000"/>
                <w:kern w:val="0"/>
                <w:sz w:val="22"/>
                <w:szCs w:val="22"/>
              </w:rPr>
            </w:pPr>
          </w:p>
        </w:tc>
        <w:tc>
          <w:tcPr>
            <w:tcW w:w="110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元</w:t>
            </w:r>
            <w:r>
              <w:rPr>
                <w:rFonts w:ascii="Calibri" w:hAnsi="Calibri" w:cs="Calibri"/>
                <w:color w:val="000000"/>
                <w:kern w:val="0"/>
                <w:sz w:val="22"/>
                <w:szCs w:val="22"/>
              </w:rPr>
              <w:t>/</w:t>
            </w:r>
            <w:r>
              <w:rPr>
                <w:rFonts w:hint="eastAsia" w:ascii="宋体" w:hAnsi="宋体" w:cs="宋体"/>
                <w:color w:val="000000"/>
                <w:kern w:val="0"/>
                <w:sz w:val="22"/>
                <w:szCs w:val="22"/>
              </w:rPr>
              <w:t>平方米</w:t>
            </w:r>
          </w:p>
        </w:tc>
        <w:tc>
          <w:tcPr>
            <w:tcW w:w="138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元</w:t>
            </w:r>
          </w:p>
        </w:tc>
        <w:tc>
          <w:tcPr>
            <w:tcW w:w="122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napToGrid/>
              <w:spacing w:line="240" w:lineRule="auto"/>
              <w:ind w:firstLine="0" w:firstLineChars="0"/>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55"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64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混凝土框架结构建筑物结构荷载检测鉴定</w:t>
            </w:r>
          </w:p>
        </w:tc>
        <w:tc>
          <w:tcPr>
            <w:tcW w:w="126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30000</w:t>
            </w:r>
          </w:p>
        </w:tc>
        <w:tc>
          <w:tcPr>
            <w:tcW w:w="84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平方米</w:t>
            </w:r>
          </w:p>
        </w:tc>
        <w:tc>
          <w:tcPr>
            <w:tcW w:w="110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0"/>
              </w:rPr>
            </w:pPr>
            <w:r>
              <w:rPr>
                <w:rFonts w:hint="eastAsia" w:ascii="宋体" w:hAnsi="宋体" w:cs="宋体"/>
                <w:color w:val="000000"/>
                <w:kern w:val="0"/>
                <w:sz w:val="20"/>
              </w:rPr>
              <w:t>　</w:t>
            </w:r>
          </w:p>
        </w:tc>
        <w:tc>
          <w:tcPr>
            <w:tcW w:w="138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0"/>
              </w:rPr>
            </w:pPr>
            <w:r>
              <w:rPr>
                <w:rFonts w:hint="eastAsia" w:ascii="宋体" w:hAnsi="宋体" w:cs="宋体"/>
                <w:color w:val="000000"/>
                <w:kern w:val="0"/>
                <w:sz w:val="20"/>
              </w:rPr>
              <w:t>　</w:t>
            </w:r>
          </w:p>
        </w:tc>
        <w:tc>
          <w:tcPr>
            <w:tcW w:w="1220" w:type="dxa"/>
            <w:tcBorders>
              <w:top w:val="nil"/>
              <w:left w:val="nil"/>
              <w:bottom w:val="nil"/>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18"/>
                <w:szCs w:val="18"/>
              </w:rPr>
            </w:pPr>
            <w:r>
              <w:rPr>
                <w:rFonts w:hint="eastAsia" w:ascii="宋体" w:hAnsi="宋体" w:cs="宋体"/>
                <w:color w:val="000000"/>
                <w:kern w:val="0"/>
                <w:sz w:val="18"/>
                <w:szCs w:val="18"/>
              </w:rPr>
              <w:t>报价为含税价</w:t>
            </w:r>
          </w:p>
        </w:tc>
      </w:tr>
      <w:tr>
        <w:tblPrEx>
          <w:tblCellMar>
            <w:top w:w="0" w:type="dxa"/>
            <w:left w:w="108" w:type="dxa"/>
            <w:bottom w:w="0" w:type="dxa"/>
            <w:right w:w="108" w:type="dxa"/>
          </w:tblCellMar>
        </w:tblPrEx>
        <w:trPr>
          <w:trHeight w:val="555"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64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钢结构建筑物结构荷载检测鉴定</w:t>
            </w:r>
          </w:p>
        </w:tc>
        <w:tc>
          <w:tcPr>
            <w:tcW w:w="126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127458</w:t>
            </w:r>
          </w:p>
        </w:tc>
        <w:tc>
          <w:tcPr>
            <w:tcW w:w="84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平方米</w:t>
            </w:r>
          </w:p>
        </w:tc>
        <w:tc>
          <w:tcPr>
            <w:tcW w:w="110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8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20" w:type="dxa"/>
            <w:tcBorders>
              <w:top w:val="nil"/>
              <w:left w:val="nil"/>
              <w:bottom w:val="nil"/>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18"/>
                <w:szCs w:val="18"/>
              </w:rPr>
            </w:pPr>
            <w:r>
              <w:rPr>
                <w:rFonts w:hint="eastAsia" w:ascii="宋体" w:hAnsi="宋体" w:cs="宋体"/>
                <w:color w:val="000000"/>
                <w:kern w:val="0"/>
                <w:sz w:val="18"/>
                <w:szCs w:val="18"/>
              </w:rPr>
              <w:t>税率</w:t>
            </w:r>
            <w:r>
              <w:rPr>
                <w:rFonts w:hint="eastAsia" w:ascii="宋体" w:hAnsi="宋体" w:cs="宋体"/>
                <w:color w:val="000000"/>
                <w:kern w:val="0"/>
                <w:sz w:val="18"/>
                <w:szCs w:val="18"/>
                <w:u w:val="single"/>
              </w:rPr>
              <w:t xml:space="preserve">  </w:t>
            </w:r>
            <w:r>
              <w:rPr>
                <w:rFonts w:hint="eastAsia" w:ascii="宋体" w:hAnsi="宋体" w:cs="宋体"/>
                <w:color w:val="000000"/>
                <w:kern w:val="0"/>
                <w:sz w:val="18"/>
                <w:szCs w:val="18"/>
              </w:rPr>
              <w:t>%增值税</w:t>
            </w:r>
          </w:p>
        </w:tc>
      </w:tr>
      <w:tr>
        <w:tblPrEx>
          <w:tblCellMar>
            <w:top w:w="0" w:type="dxa"/>
            <w:left w:w="108" w:type="dxa"/>
            <w:bottom w:w="0" w:type="dxa"/>
            <w:right w:w="108" w:type="dxa"/>
          </w:tblCellMar>
        </w:tblPrEx>
        <w:trPr>
          <w:trHeight w:val="285" w:hRule="atLeast"/>
        </w:trPr>
        <w:tc>
          <w:tcPr>
            <w:tcW w:w="3720" w:type="dxa"/>
            <w:gridSpan w:val="2"/>
            <w:tcBorders>
              <w:top w:val="single" w:color="auto" w:sz="8" w:space="0"/>
              <w:left w:val="single" w:color="auto" w:sz="8" w:space="0"/>
              <w:bottom w:val="single" w:color="auto" w:sz="8" w:space="0"/>
              <w:right w:val="single" w:color="000000"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126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84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0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8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20" w:type="dxa"/>
            <w:tcBorders>
              <w:top w:val="nil"/>
              <w:left w:val="nil"/>
              <w:bottom w:val="single" w:color="auto" w:sz="8" w:space="0"/>
              <w:right w:val="single" w:color="auto"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9520" w:type="dxa"/>
            <w:gridSpan w:val="7"/>
            <w:tcBorders>
              <w:top w:val="single" w:color="auto" w:sz="8" w:space="0"/>
              <w:left w:val="single" w:color="auto" w:sz="8" w:space="0"/>
              <w:bottom w:val="nil"/>
              <w:right w:val="single" w:color="000000"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备注：1、报价含税费。</w:t>
            </w:r>
          </w:p>
        </w:tc>
      </w:tr>
      <w:tr>
        <w:tblPrEx>
          <w:tblCellMar>
            <w:top w:w="0" w:type="dxa"/>
            <w:left w:w="108" w:type="dxa"/>
            <w:bottom w:w="0" w:type="dxa"/>
            <w:right w:w="108" w:type="dxa"/>
          </w:tblCellMar>
        </w:tblPrEx>
        <w:trPr>
          <w:trHeight w:val="1350" w:hRule="atLeast"/>
        </w:trPr>
        <w:tc>
          <w:tcPr>
            <w:tcW w:w="9520" w:type="dxa"/>
            <w:gridSpan w:val="7"/>
            <w:tcBorders>
              <w:top w:val="nil"/>
              <w:left w:val="single" w:color="auto" w:sz="8" w:space="0"/>
              <w:bottom w:val="nil"/>
              <w:right w:val="single" w:color="000000"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投标含税单价及综合含税单价指完成本项目约定的工作范围内的各项工作所发生的全部费用。包含人工费、机械费、自身消耗性材料费、劳动保护费、职业健康检查费、安全投入费、食宿费用、项目管理费、计划利润、税金、保险费用、人身伤亡事故处理费、不可预见的风险费、新冠疫情防控及其他必要的全部费用。供应商在报价时应充分考虑了物价上涨的风险、入场时间与进度推迟的风险等所有不可预见性因素，并将其考虑在了报价中。</w:t>
            </w:r>
          </w:p>
        </w:tc>
      </w:tr>
      <w:tr>
        <w:tblPrEx>
          <w:tblCellMar>
            <w:top w:w="0" w:type="dxa"/>
            <w:left w:w="108" w:type="dxa"/>
            <w:bottom w:w="0" w:type="dxa"/>
            <w:right w:w="108" w:type="dxa"/>
          </w:tblCellMar>
        </w:tblPrEx>
        <w:trPr>
          <w:trHeight w:val="270" w:hRule="atLeast"/>
        </w:trPr>
        <w:tc>
          <w:tcPr>
            <w:tcW w:w="9520" w:type="dxa"/>
            <w:gridSpan w:val="7"/>
            <w:tcBorders>
              <w:top w:val="nil"/>
              <w:left w:val="single" w:color="auto" w:sz="8" w:space="0"/>
              <w:bottom w:val="nil"/>
              <w:right w:val="single" w:color="000000"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3、本标项目合同总价固定不调。</w:t>
            </w:r>
          </w:p>
        </w:tc>
      </w:tr>
      <w:tr>
        <w:tblPrEx>
          <w:tblCellMar>
            <w:top w:w="0" w:type="dxa"/>
            <w:left w:w="108" w:type="dxa"/>
            <w:bottom w:w="0" w:type="dxa"/>
            <w:right w:w="108" w:type="dxa"/>
          </w:tblCellMar>
        </w:tblPrEx>
        <w:trPr>
          <w:trHeight w:val="270" w:hRule="atLeast"/>
        </w:trPr>
        <w:tc>
          <w:tcPr>
            <w:tcW w:w="9520" w:type="dxa"/>
            <w:gridSpan w:val="7"/>
            <w:tcBorders>
              <w:top w:val="nil"/>
              <w:left w:val="single" w:color="auto" w:sz="8" w:space="0"/>
              <w:bottom w:val="nil"/>
              <w:right w:val="single" w:color="000000"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4、少报、漏报或报价为零的项目均包含在报价中。</w:t>
            </w:r>
          </w:p>
        </w:tc>
      </w:tr>
      <w:tr>
        <w:tblPrEx>
          <w:tblCellMar>
            <w:top w:w="0" w:type="dxa"/>
            <w:left w:w="108" w:type="dxa"/>
            <w:bottom w:w="0" w:type="dxa"/>
            <w:right w:w="108" w:type="dxa"/>
          </w:tblCellMar>
        </w:tblPrEx>
        <w:trPr>
          <w:trHeight w:val="285" w:hRule="atLeast"/>
        </w:trPr>
        <w:tc>
          <w:tcPr>
            <w:tcW w:w="9520" w:type="dxa"/>
            <w:gridSpan w:val="7"/>
            <w:tcBorders>
              <w:top w:val="nil"/>
              <w:left w:val="single" w:color="auto" w:sz="8" w:space="0"/>
              <w:bottom w:val="single" w:color="auto" w:sz="8" w:space="0"/>
              <w:right w:val="single" w:color="000000" w:sz="8" w:space="0"/>
            </w:tcBorders>
            <w:shd w:val="clear" w:color="auto" w:fill="auto"/>
            <w:vAlign w:val="center"/>
          </w:tcPr>
          <w:p>
            <w:pPr>
              <w:widowControl/>
              <w:adjustRightInd/>
              <w:snapToGrid/>
              <w:spacing w:line="240" w:lineRule="auto"/>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5、供应商员工薪酬不得低于济源地区最低工资标准。</w:t>
            </w:r>
          </w:p>
        </w:tc>
      </w:tr>
    </w:tbl>
    <w:p>
      <w:pPr>
        <w:topLinePunct/>
        <w:spacing w:line="360" w:lineRule="auto"/>
        <w:ind w:firstLine="420" w:firstLineChars="175"/>
        <w:rPr>
          <w:rFonts w:cs="Arial"/>
          <w:szCs w:val="21"/>
        </w:rPr>
      </w:pPr>
      <w:r>
        <w:rPr>
          <w:rFonts w:hint="eastAsia" w:cs="Arial"/>
          <w:szCs w:val="21"/>
        </w:rPr>
        <w:t>说明：供应商在华能电子商务平台进行报价时，平台报价和响应文件报价的总价须保持一致，按单价询价、据实结算类项目，平台上每个分项请报分项</w:t>
      </w:r>
      <w:r>
        <w:rPr>
          <w:rFonts w:hint="eastAsia" w:cs="Arial"/>
          <w:b/>
          <w:bCs/>
          <w:szCs w:val="21"/>
        </w:rPr>
        <w:t>预估总价</w:t>
      </w:r>
      <w:r>
        <w:rPr>
          <w:rFonts w:hint="eastAsia" w:cs="Arial"/>
          <w:szCs w:val="21"/>
        </w:rPr>
        <w:t>。</w:t>
      </w: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（盖章） </w:t>
      </w:r>
    </w:p>
    <w:p>
      <w:pPr>
        <w:spacing w:line="360" w:lineRule="auto"/>
        <w:ind w:firstLine="480"/>
        <w:jc w:val="right"/>
        <w:rPr>
          <w:rFonts w:cs="Arial"/>
          <w:szCs w:val="21"/>
        </w:rPr>
      </w:pPr>
      <w:r>
        <w:rPr>
          <w:rFonts w:hint="eastAsia" w:cs="Arial"/>
          <w:szCs w:val="21"/>
        </w:rPr>
        <w:t>年月日</w:t>
      </w:r>
    </w:p>
    <w:p>
      <w:pPr>
        <w:ind w:firstLine="480"/>
      </w:pPr>
      <w:r>
        <w:rPr>
          <w:rFonts w:hint="eastAsia"/>
        </w:rPr>
        <w:t>2.2分项报价表</w:t>
      </w:r>
    </w:p>
    <w:p>
      <w:pPr>
        <w:ind w:firstLine="480"/>
      </w:pPr>
      <w:bookmarkStart w:id="106" w:name="_Toc527560964"/>
      <w:r>
        <w:rPr>
          <w:rFonts w:hint="eastAsia"/>
        </w:rPr>
        <w:t>格式自拟。</w:t>
      </w:r>
    </w:p>
    <w:p>
      <w:pPr>
        <w:ind w:firstLine="480"/>
        <w:rPr>
          <w:rFonts w:ascii="Arial" w:hAnsi="Arial" w:eastAsia="黑体"/>
          <w:kern w:val="0"/>
          <w:sz w:val="28"/>
          <w:szCs w:val="32"/>
        </w:rPr>
      </w:pPr>
      <w:r>
        <w:br w:type="page"/>
      </w:r>
    </w:p>
    <w:p>
      <w:pPr>
        <w:pStyle w:val="3"/>
        <w:spacing w:before="120"/>
      </w:pPr>
      <w:bookmarkStart w:id="107" w:name="_Toc98316863"/>
      <w:r>
        <w:rPr>
          <w:rFonts w:hint="eastAsia"/>
        </w:rPr>
        <w:t>三、商务部分</w:t>
      </w:r>
      <w:bookmarkEnd w:id="107"/>
    </w:p>
    <w:p>
      <w:pPr>
        <w:ind w:firstLine="480"/>
        <w:jc w:val="center"/>
      </w:pPr>
      <w:r>
        <w:rPr>
          <w:rFonts w:hint="eastAsia"/>
        </w:rPr>
        <w:t>商务部分摘要表</w:t>
      </w:r>
      <w:bookmarkEnd w:id="106"/>
    </w:p>
    <w:tbl>
      <w:tblPr>
        <w:tblStyle w:val="2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rPr>
                <w:rFonts w:hint="eastAsia"/>
              </w:rPr>
              <w:t>供应商</w:t>
            </w:r>
            <w:r>
              <w:t>名称</w:t>
            </w:r>
          </w:p>
        </w:tc>
        <w:tc>
          <w:tcPr>
            <w:tcW w:w="7077" w:type="dxa"/>
            <w:gridSpan w:val="10"/>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注册地址</w:t>
            </w:r>
          </w:p>
        </w:tc>
        <w:tc>
          <w:tcPr>
            <w:tcW w:w="3745" w:type="dxa"/>
            <w:gridSpan w:val="5"/>
            <w:vAlign w:val="center"/>
          </w:tcPr>
          <w:p>
            <w:pPr>
              <w:pStyle w:val="50"/>
            </w:pPr>
          </w:p>
        </w:tc>
        <w:tc>
          <w:tcPr>
            <w:tcW w:w="1311" w:type="dxa"/>
            <w:vAlign w:val="center"/>
          </w:tcPr>
          <w:p>
            <w:pPr>
              <w:pStyle w:val="50"/>
            </w:pPr>
            <w:r>
              <w:t>邮政编码</w:t>
            </w:r>
          </w:p>
        </w:tc>
        <w:tc>
          <w:tcPr>
            <w:tcW w:w="2021" w:type="dxa"/>
            <w:gridSpan w:val="4"/>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785" w:type="dxa"/>
            <w:vMerge w:val="restart"/>
            <w:vAlign w:val="center"/>
          </w:tcPr>
          <w:p>
            <w:pPr>
              <w:pStyle w:val="50"/>
            </w:pPr>
            <w:r>
              <w:t>联系方式</w:t>
            </w:r>
          </w:p>
        </w:tc>
        <w:tc>
          <w:tcPr>
            <w:tcW w:w="1124" w:type="dxa"/>
            <w:vAlign w:val="center"/>
          </w:tcPr>
          <w:p>
            <w:pPr>
              <w:pStyle w:val="50"/>
            </w:pPr>
            <w:r>
              <w:t>联系人</w:t>
            </w:r>
          </w:p>
        </w:tc>
        <w:tc>
          <w:tcPr>
            <w:tcW w:w="2621" w:type="dxa"/>
            <w:gridSpan w:val="4"/>
            <w:vAlign w:val="center"/>
          </w:tcPr>
          <w:p>
            <w:pPr>
              <w:pStyle w:val="50"/>
            </w:pPr>
          </w:p>
        </w:tc>
        <w:tc>
          <w:tcPr>
            <w:tcW w:w="1311" w:type="dxa"/>
            <w:vAlign w:val="center"/>
          </w:tcPr>
          <w:p>
            <w:pPr>
              <w:pStyle w:val="50"/>
            </w:pPr>
            <w:r>
              <w:t>电话</w:t>
            </w:r>
          </w:p>
        </w:tc>
        <w:tc>
          <w:tcPr>
            <w:tcW w:w="2021" w:type="dxa"/>
            <w:gridSpan w:val="4"/>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Merge w:val="continue"/>
            <w:vAlign w:val="center"/>
          </w:tcPr>
          <w:p>
            <w:pPr>
              <w:pStyle w:val="50"/>
            </w:pPr>
          </w:p>
        </w:tc>
        <w:tc>
          <w:tcPr>
            <w:tcW w:w="1124" w:type="dxa"/>
            <w:vAlign w:val="center"/>
          </w:tcPr>
          <w:p>
            <w:pPr>
              <w:pStyle w:val="50"/>
            </w:pPr>
            <w:r>
              <w:t>传真</w:t>
            </w:r>
          </w:p>
        </w:tc>
        <w:tc>
          <w:tcPr>
            <w:tcW w:w="2621" w:type="dxa"/>
            <w:gridSpan w:val="4"/>
            <w:vAlign w:val="center"/>
          </w:tcPr>
          <w:p>
            <w:pPr>
              <w:pStyle w:val="50"/>
            </w:pPr>
          </w:p>
        </w:tc>
        <w:tc>
          <w:tcPr>
            <w:tcW w:w="1311" w:type="dxa"/>
            <w:vAlign w:val="center"/>
          </w:tcPr>
          <w:p>
            <w:pPr>
              <w:pStyle w:val="50"/>
            </w:pPr>
            <w:r>
              <w:t>网址</w:t>
            </w:r>
          </w:p>
        </w:tc>
        <w:tc>
          <w:tcPr>
            <w:tcW w:w="2021" w:type="dxa"/>
            <w:gridSpan w:val="4"/>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股权结构</w:t>
            </w:r>
          </w:p>
        </w:tc>
        <w:tc>
          <w:tcPr>
            <w:tcW w:w="7077" w:type="dxa"/>
            <w:gridSpan w:val="10"/>
            <w:vAlign w:val="center"/>
          </w:tcPr>
          <w:p>
            <w:pPr>
              <w:pStyle w:val="50"/>
            </w:pPr>
            <w:r>
              <w:t>XX：A%；</w:t>
            </w:r>
          </w:p>
          <w:p>
            <w:pPr>
              <w:pStyle w:val="50"/>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法定代表人</w:t>
            </w:r>
          </w:p>
        </w:tc>
        <w:tc>
          <w:tcPr>
            <w:tcW w:w="1124" w:type="dxa"/>
            <w:vAlign w:val="center"/>
          </w:tcPr>
          <w:p>
            <w:pPr>
              <w:pStyle w:val="50"/>
            </w:pPr>
            <w:r>
              <w:t>姓名</w:t>
            </w:r>
          </w:p>
        </w:tc>
        <w:tc>
          <w:tcPr>
            <w:tcW w:w="1124" w:type="dxa"/>
            <w:vAlign w:val="center"/>
          </w:tcPr>
          <w:p>
            <w:pPr>
              <w:pStyle w:val="50"/>
            </w:pPr>
          </w:p>
        </w:tc>
        <w:tc>
          <w:tcPr>
            <w:tcW w:w="1310" w:type="dxa"/>
            <w:gridSpan w:val="2"/>
            <w:vAlign w:val="center"/>
          </w:tcPr>
          <w:p>
            <w:pPr>
              <w:pStyle w:val="50"/>
            </w:pPr>
            <w:r>
              <w:t>技术职称</w:t>
            </w:r>
          </w:p>
        </w:tc>
        <w:tc>
          <w:tcPr>
            <w:tcW w:w="1538" w:type="dxa"/>
            <w:gridSpan w:val="3"/>
            <w:vAlign w:val="center"/>
          </w:tcPr>
          <w:p>
            <w:pPr>
              <w:pStyle w:val="50"/>
            </w:pPr>
          </w:p>
        </w:tc>
        <w:tc>
          <w:tcPr>
            <w:tcW w:w="1082" w:type="dxa"/>
            <w:gridSpan w:val="2"/>
            <w:vAlign w:val="center"/>
          </w:tcPr>
          <w:p>
            <w:pPr>
              <w:pStyle w:val="50"/>
            </w:pPr>
            <w:r>
              <w:t>电话</w:t>
            </w:r>
          </w:p>
        </w:tc>
        <w:tc>
          <w:tcPr>
            <w:tcW w:w="899" w:type="dxa"/>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技术负责人</w:t>
            </w:r>
          </w:p>
        </w:tc>
        <w:tc>
          <w:tcPr>
            <w:tcW w:w="1124" w:type="dxa"/>
            <w:vAlign w:val="center"/>
          </w:tcPr>
          <w:p>
            <w:pPr>
              <w:pStyle w:val="50"/>
            </w:pPr>
            <w:r>
              <w:t>姓名</w:t>
            </w:r>
          </w:p>
        </w:tc>
        <w:tc>
          <w:tcPr>
            <w:tcW w:w="1124" w:type="dxa"/>
            <w:vAlign w:val="center"/>
          </w:tcPr>
          <w:p>
            <w:pPr>
              <w:pStyle w:val="50"/>
            </w:pPr>
          </w:p>
        </w:tc>
        <w:tc>
          <w:tcPr>
            <w:tcW w:w="1310" w:type="dxa"/>
            <w:gridSpan w:val="2"/>
            <w:vAlign w:val="center"/>
          </w:tcPr>
          <w:p>
            <w:pPr>
              <w:pStyle w:val="50"/>
            </w:pPr>
            <w:r>
              <w:t>技术职称</w:t>
            </w:r>
          </w:p>
        </w:tc>
        <w:tc>
          <w:tcPr>
            <w:tcW w:w="1538" w:type="dxa"/>
            <w:gridSpan w:val="3"/>
            <w:vAlign w:val="center"/>
          </w:tcPr>
          <w:p>
            <w:pPr>
              <w:pStyle w:val="50"/>
            </w:pPr>
          </w:p>
        </w:tc>
        <w:tc>
          <w:tcPr>
            <w:tcW w:w="1082" w:type="dxa"/>
            <w:gridSpan w:val="2"/>
            <w:vAlign w:val="center"/>
          </w:tcPr>
          <w:p>
            <w:pPr>
              <w:pStyle w:val="50"/>
            </w:pPr>
            <w:r>
              <w:t>电话</w:t>
            </w:r>
          </w:p>
        </w:tc>
        <w:tc>
          <w:tcPr>
            <w:tcW w:w="899" w:type="dxa"/>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成立时间</w:t>
            </w:r>
          </w:p>
        </w:tc>
        <w:tc>
          <w:tcPr>
            <w:tcW w:w="2248" w:type="dxa"/>
            <w:gridSpan w:val="2"/>
            <w:vAlign w:val="center"/>
          </w:tcPr>
          <w:p>
            <w:pPr>
              <w:pStyle w:val="50"/>
            </w:pPr>
          </w:p>
        </w:tc>
        <w:tc>
          <w:tcPr>
            <w:tcW w:w="4829" w:type="dxa"/>
            <w:gridSpan w:val="8"/>
            <w:vAlign w:val="center"/>
          </w:tcPr>
          <w:p>
            <w:pPr>
              <w:pStyle w:val="50"/>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企业资质等级</w:t>
            </w:r>
          </w:p>
        </w:tc>
        <w:tc>
          <w:tcPr>
            <w:tcW w:w="2248" w:type="dxa"/>
            <w:gridSpan w:val="2"/>
            <w:vAlign w:val="center"/>
          </w:tcPr>
          <w:p>
            <w:pPr>
              <w:pStyle w:val="50"/>
            </w:pPr>
          </w:p>
        </w:tc>
        <w:tc>
          <w:tcPr>
            <w:tcW w:w="941" w:type="dxa"/>
            <w:vMerge w:val="restart"/>
            <w:vAlign w:val="center"/>
          </w:tcPr>
          <w:p>
            <w:pPr>
              <w:pStyle w:val="50"/>
              <w:jc w:val="center"/>
            </w:pPr>
            <w:r>
              <w:t>其中</w:t>
            </w:r>
          </w:p>
        </w:tc>
        <w:tc>
          <w:tcPr>
            <w:tcW w:w="1936" w:type="dxa"/>
            <w:gridSpan w:val="5"/>
            <w:vAlign w:val="center"/>
          </w:tcPr>
          <w:p>
            <w:pPr>
              <w:pStyle w:val="50"/>
            </w:pPr>
            <w:r>
              <w:t>项目经理</w:t>
            </w:r>
          </w:p>
        </w:tc>
        <w:tc>
          <w:tcPr>
            <w:tcW w:w="1952" w:type="dxa"/>
            <w:gridSpan w:val="2"/>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营业执照号</w:t>
            </w:r>
          </w:p>
        </w:tc>
        <w:tc>
          <w:tcPr>
            <w:tcW w:w="2248" w:type="dxa"/>
            <w:gridSpan w:val="2"/>
            <w:vAlign w:val="center"/>
          </w:tcPr>
          <w:p>
            <w:pPr>
              <w:pStyle w:val="50"/>
            </w:pPr>
          </w:p>
        </w:tc>
        <w:tc>
          <w:tcPr>
            <w:tcW w:w="941" w:type="dxa"/>
            <w:vMerge w:val="continue"/>
            <w:vAlign w:val="center"/>
          </w:tcPr>
          <w:p>
            <w:pPr>
              <w:pStyle w:val="50"/>
            </w:pPr>
          </w:p>
        </w:tc>
        <w:tc>
          <w:tcPr>
            <w:tcW w:w="1936" w:type="dxa"/>
            <w:gridSpan w:val="5"/>
            <w:vAlign w:val="center"/>
          </w:tcPr>
          <w:p>
            <w:pPr>
              <w:pStyle w:val="50"/>
            </w:pPr>
            <w:r>
              <w:t>高级职称人员</w:t>
            </w:r>
          </w:p>
        </w:tc>
        <w:tc>
          <w:tcPr>
            <w:tcW w:w="1952" w:type="dxa"/>
            <w:gridSpan w:val="2"/>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注册资</w:t>
            </w:r>
            <w:r>
              <w:rPr>
                <w:rFonts w:hint="eastAsia"/>
              </w:rPr>
              <w:t>本</w:t>
            </w:r>
            <w:r>
              <w:t>金</w:t>
            </w:r>
          </w:p>
        </w:tc>
        <w:tc>
          <w:tcPr>
            <w:tcW w:w="2248" w:type="dxa"/>
            <w:gridSpan w:val="2"/>
            <w:vAlign w:val="center"/>
          </w:tcPr>
          <w:p>
            <w:pPr>
              <w:pStyle w:val="50"/>
            </w:pPr>
          </w:p>
        </w:tc>
        <w:tc>
          <w:tcPr>
            <w:tcW w:w="941" w:type="dxa"/>
            <w:vMerge w:val="continue"/>
            <w:vAlign w:val="center"/>
          </w:tcPr>
          <w:p>
            <w:pPr>
              <w:pStyle w:val="50"/>
            </w:pPr>
          </w:p>
        </w:tc>
        <w:tc>
          <w:tcPr>
            <w:tcW w:w="1936" w:type="dxa"/>
            <w:gridSpan w:val="5"/>
            <w:vAlign w:val="center"/>
          </w:tcPr>
          <w:p>
            <w:pPr>
              <w:pStyle w:val="50"/>
            </w:pPr>
            <w:r>
              <w:t>中级职称人员</w:t>
            </w:r>
          </w:p>
        </w:tc>
        <w:tc>
          <w:tcPr>
            <w:tcW w:w="1952" w:type="dxa"/>
            <w:gridSpan w:val="2"/>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开户银行</w:t>
            </w:r>
          </w:p>
        </w:tc>
        <w:tc>
          <w:tcPr>
            <w:tcW w:w="2248" w:type="dxa"/>
            <w:gridSpan w:val="2"/>
            <w:vAlign w:val="center"/>
          </w:tcPr>
          <w:p>
            <w:pPr>
              <w:pStyle w:val="50"/>
            </w:pPr>
          </w:p>
        </w:tc>
        <w:tc>
          <w:tcPr>
            <w:tcW w:w="941" w:type="dxa"/>
            <w:vMerge w:val="continue"/>
            <w:vAlign w:val="center"/>
          </w:tcPr>
          <w:p>
            <w:pPr>
              <w:pStyle w:val="50"/>
            </w:pPr>
          </w:p>
        </w:tc>
        <w:tc>
          <w:tcPr>
            <w:tcW w:w="1936" w:type="dxa"/>
            <w:gridSpan w:val="5"/>
            <w:vAlign w:val="center"/>
          </w:tcPr>
          <w:p>
            <w:pPr>
              <w:pStyle w:val="50"/>
            </w:pPr>
            <w:r>
              <w:t>初级职称人员</w:t>
            </w:r>
          </w:p>
        </w:tc>
        <w:tc>
          <w:tcPr>
            <w:tcW w:w="1952" w:type="dxa"/>
            <w:gridSpan w:val="2"/>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账号</w:t>
            </w:r>
          </w:p>
        </w:tc>
        <w:tc>
          <w:tcPr>
            <w:tcW w:w="2248" w:type="dxa"/>
            <w:gridSpan w:val="2"/>
            <w:vAlign w:val="center"/>
          </w:tcPr>
          <w:p>
            <w:pPr>
              <w:pStyle w:val="50"/>
            </w:pPr>
          </w:p>
        </w:tc>
        <w:tc>
          <w:tcPr>
            <w:tcW w:w="941" w:type="dxa"/>
            <w:vMerge w:val="continue"/>
            <w:vAlign w:val="center"/>
          </w:tcPr>
          <w:p>
            <w:pPr>
              <w:pStyle w:val="50"/>
            </w:pPr>
          </w:p>
        </w:tc>
        <w:tc>
          <w:tcPr>
            <w:tcW w:w="1936" w:type="dxa"/>
            <w:gridSpan w:val="5"/>
            <w:vAlign w:val="center"/>
          </w:tcPr>
          <w:p>
            <w:pPr>
              <w:pStyle w:val="50"/>
            </w:pPr>
            <w:r>
              <w:t>技工</w:t>
            </w:r>
          </w:p>
        </w:tc>
        <w:tc>
          <w:tcPr>
            <w:tcW w:w="1952" w:type="dxa"/>
            <w:gridSpan w:val="2"/>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t>经营范围</w:t>
            </w:r>
          </w:p>
        </w:tc>
        <w:tc>
          <w:tcPr>
            <w:tcW w:w="7077" w:type="dxa"/>
            <w:gridSpan w:val="10"/>
            <w:vAlign w:val="center"/>
          </w:tcPr>
          <w:p>
            <w:pPr>
              <w:pStyle w:val="50"/>
            </w:pPr>
          </w:p>
          <w:p>
            <w:pPr>
              <w:pStyle w:val="50"/>
            </w:pPr>
          </w:p>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50"/>
            </w:pPr>
            <w:r>
              <w:rPr>
                <w:rFonts w:hint="eastAsia"/>
              </w:rPr>
              <w:t>类似业绩列表</w:t>
            </w:r>
          </w:p>
        </w:tc>
        <w:tc>
          <w:tcPr>
            <w:tcW w:w="7077" w:type="dxa"/>
            <w:gridSpan w:val="10"/>
            <w:vAlign w:val="center"/>
          </w:tcPr>
          <w:p>
            <w:pPr>
              <w:pStyle w:val="5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85" w:type="dxa"/>
            <w:vAlign w:val="center"/>
          </w:tcPr>
          <w:p>
            <w:pPr>
              <w:pStyle w:val="50"/>
            </w:pPr>
            <w:r>
              <w:t>备注</w:t>
            </w:r>
          </w:p>
        </w:tc>
        <w:tc>
          <w:tcPr>
            <w:tcW w:w="7077" w:type="dxa"/>
            <w:gridSpan w:val="10"/>
            <w:vAlign w:val="center"/>
          </w:tcPr>
          <w:p>
            <w:pPr>
              <w:pStyle w:val="50"/>
            </w:pPr>
          </w:p>
        </w:tc>
      </w:tr>
    </w:tbl>
    <w:p>
      <w:pPr>
        <w:ind w:firstLine="482"/>
        <w:rPr>
          <w:rFonts w:cs="Arial"/>
          <w:b/>
          <w:szCs w:val="21"/>
          <w:u w:val="single"/>
        </w:rPr>
      </w:pPr>
      <w:r>
        <w:rPr>
          <w:rFonts w:cs="Arial"/>
          <w:b/>
          <w:szCs w:val="21"/>
        </w:rPr>
        <w:t>后附企业法人营业执照副本、资质证书、安全生产许可证</w:t>
      </w:r>
      <w:r>
        <w:rPr>
          <w:rFonts w:hint="eastAsia" w:cs="Arial"/>
          <w:b/>
          <w:szCs w:val="21"/>
        </w:rPr>
        <w:t>、类似业绩合同扫描件</w:t>
      </w:r>
      <w:r>
        <w:rPr>
          <w:rFonts w:cs="Arial"/>
          <w:b/>
          <w:szCs w:val="21"/>
        </w:rPr>
        <w:t>等资料影印件。</w:t>
      </w:r>
      <w:r>
        <w:rPr>
          <w:rFonts w:hint="eastAsia" w:cs="Arial"/>
          <w:b/>
          <w:szCs w:val="21"/>
        </w:rPr>
        <w:t>（</w:t>
      </w:r>
      <w:r>
        <w:rPr>
          <w:rFonts w:hint="eastAsia" w:cs="Arial"/>
          <w:b/>
          <w:szCs w:val="21"/>
          <w:u w:val="single"/>
        </w:rPr>
        <w:t>请供应商按照采购公告中供应商</w:t>
      </w:r>
      <w:r>
        <w:rPr>
          <w:rFonts w:cs="Arial"/>
          <w:b/>
          <w:szCs w:val="21"/>
          <w:u w:val="single"/>
        </w:rPr>
        <w:t>资格要求</w:t>
      </w:r>
      <w:r>
        <w:rPr>
          <w:rFonts w:hint="eastAsia" w:cs="Arial"/>
          <w:b/>
          <w:szCs w:val="21"/>
          <w:u w:val="single"/>
        </w:rPr>
        <w:t>提供相关</w:t>
      </w:r>
      <w:r>
        <w:rPr>
          <w:rFonts w:cs="Arial"/>
          <w:b/>
          <w:szCs w:val="21"/>
          <w:u w:val="single"/>
        </w:rPr>
        <w:t>资质证书</w:t>
      </w:r>
      <w:r>
        <w:rPr>
          <w:rFonts w:hint="eastAsia" w:cs="Arial"/>
          <w:b/>
          <w:szCs w:val="21"/>
          <w:u w:val="single"/>
        </w:rPr>
        <w:t>、业绩合同扫描件和</w:t>
      </w:r>
      <w:r>
        <w:rPr>
          <w:rFonts w:cs="Arial"/>
          <w:b/>
          <w:szCs w:val="21"/>
          <w:u w:val="single"/>
        </w:rPr>
        <w:t>企业法人营业执照</w:t>
      </w:r>
      <w:r>
        <w:rPr>
          <w:rFonts w:hint="eastAsia" w:cs="Arial"/>
          <w:b/>
          <w:szCs w:val="21"/>
          <w:u w:val="single"/>
        </w:rPr>
        <w:t>扫描件，如未按照要求提供，则该供应商响应文件视为不合格，不再参与后续评审。）</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供应商全称：</w:t>
      </w:r>
      <w:r>
        <w:rPr>
          <w:rFonts w:hint="eastAsia" w:cs="Arial"/>
          <w:szCs w:val="21"/>
          <w:u w:val="single"/>
        </w:rPr>
        <w:t xml:space="preserve">（盖章） </w:t>
      </w:r>
    </w:p>
    <w:p>
      <w:pPr>
        <w:widowControl/>
        <w:tabs>
          <w:tab w:val="left" w:pos="3846"/>
          <w:tab w:val="left" w:pos="5376"/>
          <w:tab w:val="left" w:pos="7077"/>
          <w:tab w:val="left" w:pos="8636"/>
        </w:tabs>
        <w:ind w:firstLine="5755" w:firstLineChars="2398"/>
        <w:rPr>
          <w:rFonts w:cs="宋体"/>
          <w:color w:val="000000"/>
          <w:kern w:val="0"/>
          <w:szCs w:val="24"/>
        </w:rPr>
      </w:pPr>
    </w:p>
    <w:p>
      <w:pPr>
        <w:widowControl/>
        <w:tabs>
          <w:tab w:val="left" w:pos="3846"/>
          <w:tab w:val="left" w:pos="5376"/>
          <w:tab w:val="left" w:pos="7077"/>
          <w:tab w:val="left" w:pos="8636"/>
        </w:tabs>
        <w:ind w:firstLine="4819" w:firstLineChars="2008"/>
        <w:rPr>
          <w:rFonts w:cs="宋体"/>
          <w:b/>
          <w:color w:val="000000"/>
          <w:kern w:val="0"/>
          <w:sz w:val="22"/>
        </w:rPr>
      </w:pPr>
      <w:r>
        <w:rPr>
          <w:rFonts w:hint="eastAsia" w:cs="宋体"/>
          <w:color w:val="000000"/>
          <w:kern w:val="0"/>
          <w:szCs w:val="24"/>
        </w:rPr>
        <w:t>日     期：</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3"/>
        <w:spacing w:before="120"/>
      </w:pPr>
      <w:r>
        <w:rPr>
          <w:rFonts w:ascii="宋体" w:cs="宋体"/>
          <w:b/>
          <w:color w:val="000000"/>
          <w:sz w:val="22"/>
        </w:rPr>
        <w:br w:type="page"/>
      </w:r>
      <w:bookmarkStart w:id="108" w:name="_Toc527560965"/>
      <w:bookmarkStart w:id="109" w:name="_Toc98316864"/>
      <w:r>
        <w:rPr>
          <w:rFonts w:hint="eastAsia"/>
        </w:rPr>
        <w:t>四、技术部分</w:t>
      </w:r>
      <w:bookmarkEnd w:id="108"/>
      <w:bookmarkEnd w:id="109"/>
    </w:p>
    <w:p>
      <w:pPr>
        <w:ind w:firstLine="480"/>
        <w:rPr>
          <w:rFonts w:cs="宋体"/>
          <w:color w:val="000000"/>
          <w:kern w:val="0"/>
          <w:sz w:val="20"/>
        </w:rPr>
      </w:pPr>
      <w:r>
        <w:rPr>
          <w:rFonts w:hint="eastAsia"/>
        </w:rPr>
        <w:t>供应商须按照询价文件要求及格式编写报价文件。</w:t>
      </w:r>
    </w:p>
    <w:p>
      <w:pPr>
        <w:pStyle w:val="3"/>
        <w:spacing w:before="120"/>
      </w:pPr>
      <w:r>
        <w:rPr>
          <w:rFonts w:ascii="宋体" w:hAnsi="宋体" w:cs="Arial"/>
          <w:szCs w:val="24"/>
        </w:rPr>
        <w:br w:type="page"/>
      </w:r>
      <w:bookmarkStart w:id="110" w:name="_Toc98316865"/>
      <w:r>
        <w:rPr>
          <w:rFonts w:hint="eastAsia"/>
        </w:rPr>
        <w:t>五、偏差表</w:t>
      </w:r>
      <w:bookmarkEnd w:id="110"/>
    </w:p>
    <w:tbl>
      <w:tblPr>
        <w:tblStyle w:val="29"/>
        <w:tblpPr w:leftFromText="180" w:rightFromText="180" w:vertAnchor="page" w:horzAnchor="page" w:tblpX="1260" w:tblpY="2889"/>
        <w:tblW w:w="9664" w:type="dxa"/>
        <w:tblInd w:w="0" w:type="dxa"/>
        <w:tblLayout w:type="fixed"/>
        <w:tblCellMar>
          <w:top w:w="0" w:type="dxa"/>
          <w:left w:w="108" w:type="dxa"/>
          <w:bottom w:w="0" w:type="dxa"/>
          <w:right w:w="108" w:type="dxa"/>
        </w:tblCellMar>
      </w:tblPr>
      <w:tblGrid>
        <w:gridCol w:w="1101"/>
        <w:gridCol w:w="3391"/>
        <w:gridCol w:w="3724"/>
        <w:gridCol w:w="1448"/>
      </w:tblGrid>
      <w:tr>
        <w:tblPrEx>
          <w:tblCellMar>
            <w:top w:w="0" w:type="dxa"/>
            <w:left w:w="108" w:type="dxa"/>
            <w:bottom w:w="0" w:type="dxa"/>
            <w:right w:w="108" w:type="dxa"/>
          </w:tblCellMar>
        </w:tblPrEx>
        <w:trPr>
          <w:trHeight w:val="510" w:hRule="atLeast"/>
        </w:trPr>
        <w:tc>
          <w:tcPr>
            <w:tcW w:w="1101" w:type="dxa"/>
            <w:tcBorders>
              <w:top w:val="single" w:color="auto" w:sz="4" w:space="0"/>
              <w:left w:val="single" w:color="auto" w:sz="4" w:space="0"/>
              <w:bottom w:val="single" w:color="000000" w:sz="4" w:space="0"/>
              <w:right w:val="single" w:color="auto" w:sz="4" w:space="0"/>
            </w:tcBorders>
            <w:vAlign w:val="center"/>
          </w:tcPr>
          <w:p>
            <w:pPr>
              <w:pStyle w:val="50"/>
              <w:jc w:val="center"/>
            </w:pPr>
            <w:r>
              <w:rPr>
                <w:rFonts w:hint="eastAsia"/>
              </w:rPr>
              <w:t>序号</w:t>
            </w:r>
          </w:p>
        </w:tc>
        <w:tc>
          <w:tcPr>
            <w:tcW w:w="3391" w:type="dxa"/>
            <w:tcBorders>
              <w:top w:val="single" w:color="auto" w:sz="4" w:space="0"/>
              <w:left w:val="nil"/>
              <w:bottom w:val="single" w:color="auto" w:sz="4" w:space="0"/>
              <w:right w:val="single" w:color="000000" w:sz="4" w:space="0"/>
            </w:tcBorders>
            <w:vAlign w:val="center"/>
          </w:tcPr>
          <w:p>
            <w:pPr>
              <w:pStyle w:val="50"/>
              <w:jc w:val="center"/>
            </w:pPr>
            <w:r>
              <w:rPr>
                <w:rFonts w:hint="eastAsia"/>
              </w:rPr>
              <w:t>采购文件（条目及简要内容）</w:t>
            </w:r>
          </w:p>
        </w:tc>
        <w:tc>
          <w:tcPr>
            <w:tcW w:w="3724" w:type="dxa"/>
            <w:tcBorders>
              <w:top w:val="single" w:color="auto" w:sz="4" w:space="0"/>
              <w:left w:val="nil"/>
              <w:bottom w:val="single" w:color="auto" w:sz="4" w:space="0"/>
              <w:right w:val="single" w:color="000000" w:sz="4" w:space="0"/>
            </w:tcBorders>
            <w:vAlign w:val="center"/>
          </w:tcPr>
          <w:p>
            <w:pPr>
              <w:pStyle w:val="50"/>
              <w:jc w:val="center"/>
            </w:pPr>
            <w:r>
              <w:rPr>
                <w:rFonts w:hint="eastAsia"/>
              </w:rPr>
              <w:t>响应文件（条目及简要内容）</w:t>
            </w:r>
          </w:p>
        </w:tc>
        <w:tc>
          <w:tcPr>
            <w:tcW w:w="1448" w:type="dxa"/>
            <w:tcBorders>
              <w:top w:val="single" w:color="auto" w:sz="4" w:space="0"/>
              <w:left w:val="nil"/>
              <w:bottom w:val="single" w:color="auto" w:sz="4" w:space="0"/>
              <w:right w:val="single" w:color="auto" w:sz="4" w:space="0"/>
            </w:tcBorders>
            <w:noWrap/>
            <w:vAlign w:val="center"/>
          </w:tcPr>
          <w:p>
            <w:pPr>
              <w:pStyle w:val="50"/>
              <w:jc w:val="center"/>
            </w:pPr>
            <w:r>
              <w:rPr>
                <w:rFonts w:hint="eastAsia"/>
              </w:rPr>
              <w:t>备注</w:t>
            </w:r>
          </w:p>
        </w:tc>
      </w:tr>
      <w:tr>
        <w:tblPrEx>
          <w:tblCellMar>
            <w:top w:w="0" w:type="dxa"/>
            <w:left w:w="108" w:type="dxa"/>
            <w:bottom w:w="0" w:type="dxa"/>
            <w:right w:w="108" w:type="dxa"/>
          </w:tblCellMar>
        </w:tblPrEx>
        <w:trPr>
          <w:trHeight w:val="510" w:hRule="atLeast"/>
        </w:trPr>
        <w:tc>
          <w:tcPr>
            <w:tcW w:w="1101" w:type="dxa"/>
            <w:tcBorders>
              <w:top w:val="single" w:color="auto" w:sz="4" w:space="0"/>
              <w:left w:val="single" w:color="auto" w:sz="4" w:space="0"/>
              <w:bottom w:val="single" w:color="000000" w:sz="4" w:space="0"/>
              <w:right w:val="single" w:color="auto" w:sz="4" w:space="0"/>
            </w:tcBorders>
            <w:vAlign w:val="center"/>
          </w:tcPr>
          <w:p>
            <w:pPr>
              <w:pStyle w:val="50"/>
              <w:jc w:val="center"/>
            </w:pPr>
            <w:r>
              <w:rPr>
                <w:rFonts w:hint="eastAsia"/>
              </w:rPr>
              <w:t>1</w:t>
            </w:r>
          </w:p>
        </w:tc>
        <w:tc>
          <w:tcPr>
            <w:tcW w:w="3391" w:type="dxa"/>
            <w:tcBorders>
              <w:top w:val="single" w:color="auto" w:sz="4" w:space="0"/>
              <w:left w:val="nil"/>
              <w:bottom w:val="single" w:color="auto" w:sz="4" w:space="0"/>
              <w:right w:val="single" w:color="000000" w:sz="4" w:space="0"/>
            </w:tcBorders>
            <w:vAlign w:val="center"/>
          </w:tcPr>
          <w:p>
            <w:pPr>
              <w:pStyle w:val="50"/>
              <w:jc w:val="center"/>
            </w:pPr>
          </w:p>
        </w:tc>
        <w:tc>
          <w:tcPr>
            <w:tcW w:w="3724" w:type="dxa"/>
            <w:tcBorders>
              <w:top w:val="single" w:color="auto" w:sz="4" w:space="0"/>
              <w:left w:val="nil"/>
              <w:bottom w:val="single" w:color="auto" w:sz="4" w:space="0"/>
              <w:right w:val="single" w:color="000000" w:sz="4" w:space="0"/>
            </w:tcBorders>
            <w:vAlign w:val="center"/>
          </w:tcPr>
          <w:p>
            <w:pPr>
              <w:pStyle w:val="50"/>
              <w:jc w:val="center"/>
            </w:pPr>
          </w:p>
        </w:tc>
        <w:tc>
          <w:tcPr>
            <w:tcW w:w="1448" w:type="dxa"/>
            <w:vMerge w:val="restart"/>
            <w:tcBorders>
              <w:top w:val="nil"/>
              <w:left w:val="single" w:color="auto" w:sz="4" w:space="0"/>
              <w:bottom w:val="single" w:color="000000" w:sz="4" w:space="0"/>
              <w:right w:val="single" w:color="auto" w:sz="4" w:space="0"/>
            </w:tcBorders>
            <w:noWrap/>
            <w:vAlign w:val="center"/>
          </w:tcPr>
          <w:p>
            <w:pPr>
              <w:pStyle w:val="50"/>
              <w:jc w:val="center"/>
            </w:pPr>
            <w:r>
              <w:rPr>
                <w:rFonts w:hint="eastAsia"/>
              </w:rPr>
              <w:t>如无偏差，需写：“无”；有偏差，须如实填写。</w:t>
            </w:r>
          </w:p>
        </w:tc>
      </w:tr>
      <w:tr>
        <w:tblPrEx>
          <w:tblCellMar>
            <w:top w:w="0" w:type="dxa"/>
            <w:left w:w="108" w:type="dxa"/>
            <w:bottom w:w="0" w:type="dxa"/>
            <w:right w:w="108" w:type="dxa"/>
          </w:tblCellMar>
        </w:tblPrEx>
        <w:trPr>
          <w:trHeight w:val="510" w:hRule="atLeast"/>
        </w:trPr>
        <w:tc>
          <w:tcPr>
            <w:tcW w:w="1101" w:type="dxa"/>
            <w:tcBorders>
              <w:top w:val="single" w:color="auto" w:sz="4" w:space="0"/>
              <w:left w:val="single" w:color="auto" w:sz="4" w:space="0"/>
              <w:bottom w:val="single" w:color="000000" w:sz="4" w:space="0"/>
              <w:right w:val="single" w:color="auto" w:sz="4" w:space="0"/>
            </w:tcBorders>
            <w:vAlign w:val="center"/>
          </w:tcPr>
          <w:p>
            <w:pPr>
              <w:pStyle w:val="50"/>
              <w:jc w:val="center"/>
            </w:pPr>
            <w:r>
              <w:rPr>
                <w:rFonts w:hint="eastAsia"/>
              </w:rPr>
              <w:t>2</w:t>
            </w:r>
          </w:p>
        </w:tc>
        <w:tc>
          <w:tcPr>
            <w:tcW w:w="3391" w:type="dxa"/>
            <w:tcBorders>
              <w:top w:val="single" w:color="auto" w:sz="4" w:space="0"/>
              <w:left w:val="nil"/>
              <w:bottom w:val="single" w:color="auto" w:sz="4" w:space="0"/>
              <w:right w:val="single" w:color="000000" w:sz="4" w:space="0"/>
            </w:tcBorders>
            <w:vAlign w:val="center"/>
          </w:tcPr>
          <w:p>
            <w:pPr>
              <w:pStyle w:val="50"/>
              <w:jc w:val="center"/>
            </w:pPr>
          </w:p>
        </w:tc>
        <w:tc>
          <w:tcPr>
            <w:tcW w:w="3724" w:type="dxa"/>
            <w:tcBorders>
              <w:top w:val="single" w:color="auto" w:sz="4" w:space="0"/>
              <w:left w:val="nil"/>
              <w:bottom w:val="single" w:color="auto" w:sz="4" w:space="0"/>
              <w:right w:val="single" w:color="000000" w:sz="4" w:space="0"/>
            </w:tcBorders>
            <w:vAlign w:val="center"/>
          </w:tcPr>
          <w:p>
            <w:pPr>
              <w:pStyle w:val="50"/>
              <w:jc w:val="center"/>
            </w:pPr>
          </w:p>
        </w:tc>
        <w:tc>
          <w:tcPr>
            <w:tcW w:w="1448" w:type="dxa"/>
            <w:vMerge w:val="continue"/>
            <w:tcBorders>
              <w:top w:val="nil"/>
              <w:left w:val="single" w:color="auto" w:sz="4" w:space="0"/>
              <w:bottom w:val="single" w:color="000000" w:sz="4" w:space="0"/>
              <w:right w:val="single" w:color="auto" w:sz="4" w:space="0"/>
            </w:tcBorders>
            <w:vAlign w:val="center"/>
          </w:tcPr>
          <w:p>
            <w:pPr>
              <w:pStyle w:val="50"/>
              <w:jc w:val="center"/>
            </w:pPr>
          </w:p>
        </w:tc>
      </w:tr>
      <w:tr>
        <w:tblPrEx>
          <w:tblCellMar>
            <w:top w:w="0" w:type="dxa"/>
            <w:left w:w="108" w:type="dxa"/>
            <w:bottom w:w="0" w:type="dxa"/>
            <w:right w:w="108" w:type="dxa"/>
          </w:tblCellMar>
        </w:tblPrEx>
        <w:trPr>
          <w:trHeight w:val="510" w:hRule="atLeast"/>
        </w:trPr>
        <w:tc>
          <w:tcPr>
            <w:tcW w:w="1101" w:type="dxa"/>
            <w:tcBorders>
              <w:top w:val="single" w:color="auto" w:sz="4" w:space="0"/>
              <w:left w:val="single" w:color="auto" w:sz="4" w:space="0"/>
              <w:bottom w:val="single" w:color="000000" w:sz="4" w:space="0"/>
              <w:right w:val="single" w:color="auto" w:sz="4" w:space="0"/>
            </w:tcBorders>
            <w:vAlign w:val="center"/>
          </w:tcPr>
          <w:p>
            <w:pPr>
              <w:pStyle w:val="50"/>
              <w:jc w:val="center"/>
            </w:pPr>
            <w:r>
              <w:rPr>
                <w:rFonts w:hint="eastAsia"/>
              </w:rPr>
              <w:t>3</w:t>
            </w:r>
          </w:p>
        </w:tc>
        <w:tc>
          <w:tcPr>
            <w:tcW w:w="3391" w:type="dxa"/>
            <w:tcBorders>
              <w:top w:val="single" w:color="auto" w:sz="4" w:space="0"/>
              <w:left w:val="nil"/>
              <w:bottom w:val="single" w:color="auto" w:sz="4" w:space="0"/>
              <w:right w:val="single" w:color="000000" w:sz="4" w:space="0"/>
            </w:tcBorders>
            <w:vAlign w:val="center"/>
          </w:tcPr>
          <w:p>
            <w:pPr>
              <w:pStyle w:val="50"/>
              <w:jc w:val="center"/>
            </w:pPr>
          </w:p>
        </w:tc>
        <w:tc>
          <w:tcPr>
            <w:tcW w:w="3724" w:type="dxa"/>
            <w:tcBorders>
              <w:top w:val="single" w:color="auto" w:sz="4" w:space="0"/>
              <w:left w:val="nil"/>
              <w:bottom w:val="single" w:color="auto" w:sz="4" w:space="0"/>
              <w:right w:val="single" w:color="000000" w:sz="4" w:space="0"/>
            </w:tcBorders>
            <w:vAlign w:val="center"/>
          </w:tcPr>
          <w:p>
            <w:pPr>
              <w:pStyle w:val="50"/>
              <w:jc w:val="center"/>
            </w:pPr>
          </w:p>
        </w:tc>
        <w:tc>
          <w:tcPr>
            <w:tcW w:w="1448" w:type="dxa"/>
            <w:vMerge w:val="continue"/>
            <w:tcBorders>
              <w:top w:val="nil"/>
              <w:left w:val="single" w:color="auto" w:sz="4" w:space="0"/>
              <w:bottom w:val="single" w:color="000000" w:sz="4" w:space="0"/>
              <w:right w:val="single" w:color="auto" w:sz="4" w:space="0"/>
            </w:tcBorders>
            <w:vAlign w:val="center"/>
          </w:tcPr>
          <w:p>
            <w:pPr>
              <w:pStyle w:val="50"/>
              <w:jc w:val="center"/>
            </w:pPr>
          </w:p>
        </w:tc>
      </w:tr>
      <w:tr>
        <w:tblPrEx>
          <w:tblCellMar>
            <w:top w:w="0" w:type="dxa"/>
            <w:left w:w="108" w:type="dxa"/>
            <w:bottom w:w="0" w:type="dxa"/>
            <w:right w:w="108" w:type="dxa"/>
          </w:tblCellMar>
        </w:tblPrEx>
        <w:trPr>
          <w:trHeight w:val="510" w:hRule="atLeast"/>
        </w:trPr>
        <w:tc>
          <w:tcPr>
            <w:tcW w:w="1101" w:type="dxa"/>
            <w:tcBorders>
              <w:top w:val="single" w:color="auto" w:sz="4" w:space="0"/>
              <w:left w:val="single" w:color="auto" w:sz="4" w:space="0"/>
              <w:bottom w:val="single" w:color="000000" w:sz="4" w:space="0"/>
              <w:right w:val="single" w:color="auto" w:sz="4" w:space="0"/>
            </w:tcBorders>
            <w:vAlign w:val="center"/>
          </w:tcPr>
          <w:p>
            <w:pPr>
              <w:pStyle w:val="50"/>
              <w:jc w:val="center"/>
            </w:pPr>
            <w:r>
              <w:rPr>
                <w:rFonts w:hint="eastAsia"/>
              </w:rPr>
              <w:t>4</w:t>
            </w:r>
          </w:p>
        </w:tc>
        <w:tc>
          <w:tcPr>
            <w:tcW w:w="3391" w:type="dxa"/>
            <w:tcBorders>
              <w:top w:val="single" w:color="auto" w:sz="4" w:space="0"/>
              <w:left w:val="nil"/>
              <w:bottom w:val="single" w:color="auto" w:sz="4" w:space="0"/>
              <w:right w:val="single" w:color="000000" w:sz="4" w:space="0"/>
            </w:tcBorders>
            <w:vAlign w:val="center"/>
          </w:tcPr>
          <w:p>
            <w:pPr>
              <w:pStyle w:val="50"/>
              <w:jc w:val="center"/>
            </w:pPr>
          </w:p>
        </w:tc>
        <w:tc>
          <w:tcPr>
            <w:tcW w:w="3724" w:type="dxa"/>
            <w:tcBorders>
              <w:top w:val="single" w:color="auto" w:sz="4" w:space="0"/>
              <w:left w:val="nil"/>
              <w:bottom w:val="single" w:color="auto" w:sz="4" w:space="0"/>
              <w:right w:val="single" w:color="000000" w:sz="4" w:space="0"/>
            </w:tcBorders>
            <w:vAlign w:val="center"/>
          </w:tcPr>
          <w:p>
            <w:pPr>
              <w:pStyle w:val="50"/>
              <w:jc w:val="center"/>
            </w:pPr>
          </w:p>
        </w:tc>
        <w:tc>
          <w:tcPr>
            <w:tcW w:w="1448" w:type="dxa"/>
            <w:vMerge w:val="continue"/>
            <w:tcBorders>
              <w:top w:val="nil"/>
              <w:left w:val="single" w:color="auto" w:sz="4" w:space="0"/>
              <w:bottom w:val="single" w:color="000000" w:sz="4" w:space="0"/>
              <w:right w:val="single" w:color="auto" w:sz="4" w:space="0"/>
            </w:tcBorders>
            <w:vAlign w:val="center"/>
          </w:tcPr>
          <w:p>
            <w:pPr>
              <w:pStyle w:val="50"/>
              <w:jc w:val="center"/>
            </w:pPr>
          </w:p>
        </w:tc>
      </w:tr>
    </w:tbl>
    <w:p>
      <w:pPr>
        <w:spacing w:line="480" w:lineRule="exact"/>
        <w:ind w:firstLine="0" w:firstLineChars="0"/>
        <w:outlineLvl w:val="0"/>
        <w:rPr>
          <w:b/>
          <w:color w:val="FF0000"/>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（盖章） </w:t>
      </w:r>
    </w:p>
    <w:p>
      <w:pPr>
        <w:ind w:firstLine="0" w:firstLineChars="0"/>
        <w:jc w:val="right"/>
      </w:pPr>
      <w:r>
        <w:rPr>
          <w:rFonts w:hint="eastAsia" w:cs="Arial"/>
          <w:szCs w:val="21"/>
        </w:rPr>
        <w:t>年月日</w:t>
      </w:r>
    </w:p>
    <w:p>
      <w:pPr>
        <w:spacing w:line="360" w:lineRule="auto"/>
        <w:ind w:right="360" w:rightChars="150" w:firstLine="480"/>
        <w:jc w:val="center"/>
        <w:rPr>
          <w:rFonts w:ascii="宋体" w:hAnsi="宋体" w:cs="Arial"/>
          <w:szCs w:val="24"/>
        </w:rPr>
      </w:pPr>
    </w:p>
    <w:sectPr>
      <w:footerReference r:id="rId9" w:type="default"/>
      <w:pgSz w:w="11907" w:h="16839"/>
      <w:pgMar w:top="1797" w:right="1440" w:bottom="1797" w:left="1440" w:header="1135"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EFF" w:usb1="C0007843"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1</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jc w:val="center"/>
    </w:pPr>
    <w:r>
      <w:rPr>
        <w:rStyle w:val="33"/>
      </w:rPr>
      <w:fldChar w:fldCharType="begin"/>
    </w:r>
    <w:r>
      <w:rPr>
        <w:rStyle w:val="33"/>
      </w:rPr>
      <w:instrText xml:space="preserve"> PAGE </w:instrText>
    </w:r>
    <w:r>
      <w:rPr>
        <w:rStyle w:val="33"/>
      </w:rPr>
      <w:fldChar w:fldCharType="separate"/>
    </w:r>
    <w:r>
      <w:rPr>
        <w:rStyle w:val="33"/>
      </w:rPr>
      <w:t>3</w:t>
    </w:r>
    <w:r>
      <w:rPr>
        <w:rStyle w:val="33"/>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jc w:val="left"/>
      <w:rPr>
        <w:rFonts w:ascii="宋体" w:hAnsi="宋体"/>
        <w:szCs w:val="18"/>
      </w:rPr>
    </w:pPr>
    <w:r>
      <w:rPr>
        <w:rFonts w:ascii="宋体" w:hAnsi="宋体"/>
        <w:szCs w:val="18"/>
      </w:rPr>
      <w:drawing>
        <wp:inline distT="0" distB="0" distL="0" distR="0">
          <wp:extent cx="228600" cy="236220"/>
          <wp:effectExtent l="19050" t="0" r="0" b="0"/>
          <wp:docPr id="1"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7" descr="标志2"/>
                  <pic:cNvPicPr>
                    <a:picLocks noChangeAspect="1" noChangeArrowheads="1"/>
                  </pic:cNvPicPr>
                </pic:nvPicPr>
                <pic:blipFill>
                  <a:blip r:embed="rId1"/>
                  <a:srcRect/>
                  <a:stretch>
                    <a:fillRect/>
                  </a:stretch>
                </pic:blipFill>
                <pic:spPr>
                  <a:xfrm>
                    <a:off x="0" y="0"/>
                    <a:ext cx="228600" cy="236220"/>
                  </a:xfrm>
                  <a:prstGeom prst="rect">
                    <a:avLst/>
                  </a:prstGeom>
                  <a:noFill/>
                  <a:ln w="9525">
                    <a:noFill/>
                    <a:miter lim="800000"/>
                    <a:headEnd/>
                    <a:tailEnd/>
                  </a:ln>
                </pic:spPr>
              </pic:pic>
            </a:graphicData>
          </a:graphic>
        </wp:inline>
      </w:drawing>
    </w:r>
    <w:r>
      <w:rPr>
        <w:rFonts w:hint="eastAsia" w:ascii="宋体" w:hAnsi="宋体"/>
        <w:szCs w:val="18"/>
      </w:rPr>
      <w:t>沁北电厂2022年第三季度分布式光伏发电项目建筑物结构荷载检测鉴定</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20B70"/>
    <w:multiLevelType w:val="multilevel"/>
    <w:tmpl w:val="22820B70"/>
    <w:lvl w:ilvl="0" w:tentative="0">
      <w:start w:val="1"/>
      <w:numFmt w:val="japaneseCounting"/>
      <w:lvlText w:val="%1、"/>
      <w:lvlJc w:val="left"/>
      <w:pPr>
        <w:ind w:left="862"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5"/>
  <w:drawingGridHorizontalSpacing w:val="12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2"/>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571"/>
    <w:rsid w:val="000039C8"/>
    <w:rsid w:val="000047B8"/>
    <w:rsid w:val="00005DFA"/>
    <w:rsid w:val="000108F2"/>
    <w:rsid w:val="000125E2"/>
    <w:rsid w:val="00012725"/>
    <w:rsid w:val="00013C22"/>
    <w:rsid w:val="0001422E"/>
    <w:rsid w:val="00014D41"/>
    <w:rsid w:val="00016C62"/>
    <w:rsid w:val="0001707A"/>
    <w:rsid w:val="00022477"/>
    <w:rsid w:val="00022596"/>
    <w:rsid w:val="0002296E"/>
    <w:rsid w:val="00025507"/>
    <w:rsid w:val="00026363"/>
    <w:rsid w:val="000313DF"/>
    <w:rsid w:val="00031B08"/>
    <w:rsid w:val="00031CB2"/>
    <w:rsid w:val="0003225E"/>
    <w:rsid w:val="00033390"/>
    <w:rsid w:val="0003497E"/>
    <w:rsid w:val="0003497F"/>
    <w:rsid w:val="00036802"/>
    <w:rsid w:val="0003692C"/>
    <w:rsid w:val="00041363"/>
    <w:rsid w:val="00042DBE"/>
    <w:rsid w:val="000463D2"/>
    <w:rsid w:val="0004712B"/>
    <w:rsid w:val="00051291"/>
    <w:rsid w:val="00051D29"/>
    <w:rsid w:val="00053234"/>
    <w:rsid w:val="00054490"/>
    <w:rsid w:val="000544D3"/>
    <w:rsid w:val="00056707"/>
    <w:rsid w:val="00061DC0"/>
    <w:rsid w:val="00071028"/>
    <w:rsid w:val="0007754E"/>
    <w:rsid w:val="0008057D"/>
    <w:rsid w:val="00081252"/>
    <w:rsid w:val="0008251F"/>
    <w:rsid w:val="000830F3"/>
    <w:rsid w:val="00083780"/>
    <w:rsid w:val="000921B9"/>
    <w:rsid w:val="0009338C"/>
    <w:rsid w:val="00093726"/>
    <w:rsid w:val="00093728"/>
    <w:rsid w:val="00095FEE"/>
    <w:rsid w:val="00096F03"/>
    <w:rsid w:val="000A0036"/>
    <w:rsid w:val="000A77B4"/>
    <w:rsid w:val="000B1CE0"/>
    <w:rsid w:val="000B365A"/>
    <w:rsid w:val="000B4E3B"/>
    <w:rsid w:val="000B4F8E"/>
    <w:rsid w:val="000B5D7E"/>
    <w:rsid w:val="000B681A"/>
    <w:rsid w:val="000B6E31"/>
    <w:rsid w:val="000B7877"/>
    <w:rsid w:val="000C1918"/>
    <w:rsid w:val="000C2778"/>
    <w:rsid w:val="000C2C38"/>
    <w:rsid w:val="000C447A"/>
    <w:rsid w:val="000C4679"/>
    <w:rsid w:val="000C4A6B"/>
    <w:rsid w:val="000C6186"/>
    <w:rsid w:val="000D0598"/>
    <w:rsid w:val="000D25EA"/>
    <w:rsid w:val="000D2EC6"/>
    <w:rsid w:val="000D5618"/>
    <w:rsid w:val="000D6D94"/>
    <w:rsid w:val="000E4CAC"/>
    <w:rsid w:val="000E70DF"/>
    <w:rsid w:val="000E78F2"/>
    <w:rsid w:val="000E7F0A"/>
    <w:rsid w:val="000F05D2"/>
    <w:rsid w:val="000F14D3"/>
    <w:rsid w:val="000F2551"/>
    <w:rsid w:val="000F2F1F"/>
    <w:rsid w:val="000F5775"/>
    <w:rsid w:val="000F5D86"/>
    <w:rsid w:val="000F687D"/>
    <w:rsid w:val="00100D3A"/>
    <w:rsid w:val="00103C02"/>
    <w:rsid w:val="001102A5"/>
    <w:rsid w:val="00110DD3"/>
    <w:rsid w:val="00114528"/>
    <w:rsid w:val="001164E5"/>
    <w:rsid w:val="001174EE"/>
    <w:rsid w:val="0012003A"/>
    <w:rsid w:val="0012180F"/>
    <w:rsid w:val="00122555"/>
    <w:rsid w:val="00123429"/>
    <w:rsid w:val="0012370B"/>
    <w:rsid w:val="00123794"/>
    <w:rsid w:val="0012494A"/>
    <w:rsid w:val="0012551E"/>
    <w:rsid w:val="001258D7"/>
    <w:rsid w:val="00125C65"/>
    <w:rsid w:val="00125E16"/>
    <w:rsid w:val="00127C49"/>
    <w:rsid w:val="001369F2"/>
    <w:rsid w:val="00136B17"/>
    <w:rsid w:val="00140A06"/>
    <w:rsid w:val="0014145C"/>
    <w:rsid w:val="00141AAC"/>
    <w:rsid w:val="001614A9"/>
    <w:rsid w:val="001619FD"/>
    <w:rsid w:val="00162292"/>
    <w:rsid w:val="00165837"/>
    <w:rsid w:val="00166B07"/>
    <w:rsid w:val="00167EDF"/>
    <w:rsid w:val="00170667"/>
    <w:rsid w:val="001706BB"/>
    <w:rsid w:val="001715F2"/>
    <w:rsid w:val="00172A27"/>
    <w:rsid w:val="00172DF8"/>
    <w:rsid w:val="0017763A"/>
    <w:rsid w:val="0018203D"/>
    <w:rsid w:val="0018285C"/>
    <w:rsid w:val="001828BE"/>
    <w:rsid w:val="00182C43"/>
    <w:rsid w:val="00183944"/>
    <w:rsid w:val="001851A2"/>
    <w:rsid w:val="00186477"/>
    <w:rsid w:val="00190DAE"/>
    <w:rsid w:val="00193505"/>
    <w:rsid w:val="00194B3F"/>
    <w:rsid w:val="00195069"/>
    <w:rsid w:val="0019565D"/>
    <w:rsid w:val="001A0DBF"/>
    <w:rsid w:val="001A3792"/>
    <w:rsid w:val="001A49BA"/>
    <w:rsid w:val="001A55C0"/>
    <w:rsid w:val="001A5D87"/>
    <w:rsid w:val="001A5FD7"/>
    <w:rsid w:val="001A7404"/>
    <w:rsid w:val="001A7892"/>
    <w:rsid w:val="001B12B4"/>
    <w:rsid w:val="001B1EE0"/>
    <w:rsid w:val="001B3AB1"/>
    <w:rsid w:val="001B422E"/>
    <w:rsid w:val="001B47BE"/>
    <w:rsid w:val="001B57E4"/>
    <w:rsid w:val="001B67DE"/>
    <w:rsid w:val="001C14CF"/>
    <w:rsid w:val="001C299F"/>
    <w:rsid w:val="001C6006"/>
    <w:rsid w:val="001C6391"/>
    <w:rsid w:val="001D2221"/>
    <w:rsid w:val="001D35F1"/>
    <w:rsid w:val="001D3E90"/>
    <w:rsid w:val="001D3E97"/>
    <w:rsid w:val="001D4053"/>
    <w:rsid w:val="001D47AF"/>
    <w:rsid w:val="001D6523"/>
    <w:rsid w:val="001E1C2A"/>
    <w:rsid w:val="001E286B"/>
    <w:rsid w:val="001E2DB4"/>
    <w:rsid w:val="001E2E83"/>
    <w:rsid w:val="001E674A"/>
    <w:rsid w:val="001F19B9"/>
    <w:rsid w:val="001F4BAE"/>
    <w:rsid w:val="0020052D"/>
    <w:rsid w:val="00200C02"/>
    <w:rsid w:val="002012C9"/>
    <w:rsid w:val="002047C9"/>
    <w:rsid w:val="00204B94"/>
    <w:rsid w:val="00205341"/>
    <w:rsid w:val="002070C9"/>
    <w:rsid w:val="00207C0F"/>
    <w:rsid w:val="00210B44"/>
    <w:rsid w:val="00212FF2"/>
    <w:rsid w:val="0021516B"/>
    <w:rsid w:val="00215EA4"/>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3337"/>
    <w:rsid w:val="002441D5"/>
    <w:rsid w:val="00247395"/>
    <w:rsid w:val="00247C74"/>
    <w:rsid w:val="002518D3"/>
    <w:rsid w:val="00251ECE"/>
    <w:rsid w:val="002526F2"/>
    <w:rsid w:val="00253AF3"/>
    <w:rsid w:val="00254633"/>
    <w:rsid w:val="002572CA"/>
    <w:rsid w:val="00262ACD"/>
    <w:rsid w:val="00270BD1"/>
    <w:rsid w:val="00272535"/>
    <w:rsid w:val="00273761"/>
    <w:rsid w:val="00275F81"/>
    <w:rsid w:val="00276571"/>
    <w:rsid w:val="00277BDB"/>
    <w:rsid w:val="00281AEB"/>
    <w:rsid w:val="00281DC0"/>
    <w:rsid w:val="00284DEF"/>
    <w:rsid w:val="00286206"/>
    <w:rsid w:val="00290DB3"/>
    <w:rsid w:val="00293035"/>
    <w:rsid w:val="002A0CED"/>
    <w:rsid w:val="002A2768"/>
    <w:rsid w:val="002A2D55"/>
    <w:rsid w:val="002A7F39"/>
    <w:rsid w:val="002B0D0C"/>
    <w:rsid w:val="002B196A"/>
    <w:rsid w:val="002B1BD5"/>
    <w:rsid w:val="002B57AB"/>
    <w:rsid w:val="002B65D6"/>
    <w:rsid w:val="002C1AC2"/>
    <w:rsid w:val="002C4E1F"/>
    <w:rsid w:val="002C50AC"/>
    <w:rsid w:val="002C66EA"/>
    <w:rsid w:val="002C76EA"/>
    <w:rsid w:val="002C7E11"/>
    <w:rsid w:val="002D0088"/>
    <w:rsid w:val="002D0636"/>
    <w:rsid w:val="002D0936"/>
    <w:rsid w:val="002D2539"/>
    <w:rsid w:val="002D2887"/>
    <w:rsid w:val="002D48D5"/>
    <w:rsid w:val="002D5CDB"/>
    <w:rsid w:val="002D7179"/>
    <w:rsid w:val="002E12CE"/>
    <w:rsid w:val="002E19C4"/>
    <w:rsid w:val="002E2743"/>
    <w:rsid w:val="002E31F0"/>
    <w:rsid w:val="002E4D99"/>
    <w:rsid w:val="002E56C8"/>
    <w:rsid w:val="002E78F5"/>
    <w:rsid w:val="002F090E"/>
    <w:rsid w:val="002F1E2C"/>
    <w:rsid w:val="002F1E44"/>
    <w:rsid w:val="002F3200"/>
    <w:rsid w:val="002F497E"/>
    <w:rsid w:val="002F4B50"/>
    <w:rsid w:val="002F6E67"/>
    <w:rsid w:val="002F705A"/>
    <w:rsid w:val="002F70C9"/>
    <w:rsid w:val="00302E29"/>
    <w:rsid w:val="00303D65"/>
    <w:rsid w:val="00303EB2"/>
    <w:rsid w:val="003067CB"/>
    <w:rsid w:val="003117CC"/>
    <w:rsid w:val="00311D65"/>
    <w:rsid w:val="00312714"/>
    <w:rsid w:val="00313C58"/>
    <w:rsid w:val="00314672"/>
    <w:rsid w:val="0031598B"/>
    <w:rsid w:val="00316DCD"/>
    <w:rsid w:val="00316E0C"/>
    <w:rsid w:val="00317B1A"/>
    <w:rsid w:val="00317E72"/>
    <w:rsid w:val="0032024F"/>
    <w:rsid w:val="00320B62"/>
    <w:rsid w:val="003224E2"/>
    <w:rsid w:val="00327667"/>
    <w:rsid w:val="00330EA4"/>
    <w:rsid w:val="00331046"/>
    <w:rsid w:val="00331585"/>
    <w:rsid w:val="00333519"/>
    <w:rsid w:val="0033648E"/>
    <w:rsid w:val="003374D6"/>
    <w:rsid w:val="0034023A"/>
    <w:rsid w:val="0034159D"/>
    <w:rsid w:val="00342016"/>
    <w:rsid w:val="00343846"/>
    <w:rsid w:val="00343C27"/>
    <w:rsid w:val="003465C2"/>
    <w:rsid w:val="003479E8"/>
    <w:rsid w:val="0035003C"/>
    <w:rsid w:val="00350E3A"/>
    <w:rsid w:val="00354C68"/>
    <w:rsid w:val="00355E43"/>
    <w:rsid w:val="003616A2"/>
    <w:rsid w:val="003637B2"/>
    <w:rsid w:val="00364DCA"/>
    <w:rsid w:val="00365AA6"/>
    <w:rsid w:val="003701DC"/>
    <w:rsid w:val="00371A7C"/>
    <w:rsid w:val="0037346F"/>
    <w:rsid w:val="003736F7"/>
    <w:rsid w:val="00374F15"/>
    <w:rsid w:val="00375E19"/>
    <w:rsid w:val="00381036"/>
    <w:rsid w:val="0038118A"/>
    <w:rsid w:val="00382F12"/>
    <w:rsid w:val="003832CE"/>
    <w:rsid w:val="00385B51"/>
    <w:rsid w:val="00386686"/>
    <w:rsid w:val="00387265"/>
    <w:rsid w:val="00387FAE"/>
    <w:rsid w:val="00390547"/>
    <w:rsid w:val="00391199"/>
    <w:rsid w:val="0039620A"/>
    <w:rsid w:val="003968ED"/>
    <w:rsid w:val="003977BF"/>
    <w:rsid w:val="003A4B24"/>
    <w:rsid w:val="003B336A"/>
    <w:rsid w:val="003B38EA"/>
    <w:rsid w:val="003B663D"/>
    <w:rsid w:val="003B66EC"/>
    <w:rsid w:val="003C0498"/>
    <w:rsid w:val="003C2517"/>
    <w:rsid w:val="003C3139"/>
    <w:rsid w:val="003C77E4"/>
    <w:rsid w:val="003C7A80"/>
    <w:rsid w:val="003C7E9B"/>
    <w:rsid w:val="003D0812"/>
    <w:rsid w:val="003D28DC"/>
    <w:rsid w:val="003D67E9"/>
    <w:rsid w:val="003E08B1"/>
    <w:rsid w:val="003E1364"/>
    <w:rsid w:val="003E19FD"/>
    <w:rsid w:val="003E1C20"/>
    <w:rsid w:val="003E1F82"/>
    <w:rsid w:val="003E5162"/>
    <w:rsid w:val="003E589B"/>
    <w:rsid w:val="003E6881"/>
    <w:rsid w:val="003F26DB"/>
    <w:rsid w:val="003F2F07"/>
    <w:rsid w:val="003F4D17"/>
    <w:rsid w:val="003F56AF"/>
    <w:rsid w:val="003F7C59"/>
    <w:rsid w:val="00400CBE"/>
    <w:rsid w:val="0040127E"/>
    <w:rsid w:val="0040251F"/>
    <w:rsid w:val="00404F96"/>
    <w:rsid w:val="004050AA"/>
    <w:rsid w:val="00406656"/>
    <w:rsid w:val="00407009"/>
    <w:rsid w:val="004078C0"/>
    <w:rsid w:val="004104CC"/>
    <w:rsid w:val="00415FB2"/>
    <w:rsid w:val="00416E14"/>
    <w:rsid w:val="004179EC"/>
    <w:rsid w:val="0042004B"/>
    <w:rsid w:val="00423D0A"/>
    <w:rsid w:val="00425611"/>
    <w:rsid w:val="00425837"/>
    <w:rsid w:val="00425C60"/>
    <w:rsid w:val="00425F7B"/>
    <w:rsid w:val="00431016"/>
    <w:rsid w:val="004313F2"/>
    <w:rsid w:val="004320A5"/>
    <w:rsid w:val="00435C52"/>
    <w:rsid w:val="00440720"/>
    <w:rsid w:val="004417CA"/>
    <w:rsid w:val="004429DF"/>
    <w:rsid w:val="00442E69"/>
    <w:rsid w:val="00443B14"/>
    <w:rsid w:val="00444E16"/>
    <w:rsid w:val="00447E90"/>
    <w:rsid w:val="0045097B"/>
    <w:rsid w:val="004536F3"/>
    <w:rsid w:val="00457247"/>
    <w:rsid w:val="0046219D"/>
    <w:rsid w:val="00462258"/>
    <w:rsid w:val="00464C03"/>
    <w:rsid w:val="00464CD5"/>
    <w:rsid w:val="00464F26"/>
    <w:rsid w:val="004658C9"/>
    <w:rsid w:val="004659D1"/>
    <w:rsid w:val="00466907"/>
    <w:rsid w:val="00467ACF"/>
    <w:rsid w:val="00467C7D"/>
    <w:rsid w:val="004737E2"/>
    <w:rsid w:val="004738C4"/>
    <w:rsid w:val="0047634C"/>
    <w:rsid w:val="00476C9E"/>
    <w:rsid w:val="00482D1B"/>
    <w:rsid w:val="004840FD"/>
    <w:rsid w:val="004854FB"/>
    <w:rsid w:val="0048729B"/>
    <w:rsid w:val="00491453"/>
    <w:rsid w:val="0049220B"/>
    <w:rsid w:val="004926C9"/>
    <w:rsid w:val="00494ED6"/>
    <w:rsid w:val="00496FD1"/>
    <w:rsid w:val="004A0231"/>
    <w:rsid w:val="004A0866"/>
    <w:rsid w:val="004A1924"/>
    <w:rsid w:val="004A1997"/>
    <w:rsid w:val="004A2971"/>
    <w:rsid w:val="004A389C"/>
    <w:rsid w:val="004B0688"/>
    <w:rsid w:val="004B0FF5"/>
    <w:rsid w:val="004B38F2"/>
    <w:rsid w:val="004B4473"/>
    <w:rsid w:val="004B57E7"/>
    <w:rsid w:val="004C11D3"/>
    <w:rsid w:val="004C2D93"/>
    <w:rsid w:val="004C3C65"/>
    <w:rsid w:val="004C3F61"/>
    <w:rsid w:val="004C6F3F"/>
    <w:rsid w:val="004D158E"/>
    <w:rsid w:val="004D2DFC"/>
    <w:rsid w:val="004D2EF6"/>
    <w:rsid w:val="004D597E"/>
    <w:rsid w:val="004D6808"/>
    <w:rsid w:val="004D70B4"/>
    <w:rsid w:val="004F0D4B"/>
    <w:rsid w:val="004F0E28"/>
    <w:rsid w:val="004F6E4D"/>
    <w:rsid w:val="005061B6"/>
    <w:rsid w:val="00506F55"/>
    <w:rsid w:val="00513C07"/>
    <w:rsid w:val="00513ED8"/>
    <w:rsid w:val="00514BCD"/>
    <w:rsid w:val="00514D19"/>
    <w:rsid w:val="00515622"/>
    <w:rsid w:val="00516A65"/>
    <w:rsid w:val="005229CC"/>
    <w:rsid w:val="00523A2A"/>
    <w:rsid w:val="00525393"/>
    <w:rsid w:val="0053205F"/>
    <w:rsid w:val="00532A99"/>
    <w:rsid w:val="0053372F"/>
    <w:rsid w:val="005450B6"/>
    <w:rsid w:val="00546092"/>
    <w:rsid w:val="00546134"/>
    <w:rsid w:val="0055221E"/>
    <w:rsid w:val="00557240"/>
    <w:rsid w:val="005576A7"/>
    <w:rsid w:val="00560809"/>
    <w:rsid w:val="00561B68"/>
    <w:rsid w:val="00572F2E"/>
    <w:rsid w:val="00573CBA"/>
    <w:rsid w:val="0057401F"/>
    <w:rsid w:val="00581839"/>
    <w:rsid w:val="0058292F"/>
    <w:rsid w:val="00587CB3"/>
    <w:rsid w:val="00592464"/>
    <w:rsid w:val="005943C0"/>
    <w:rsid w:val="0059617D"/>
    <w:rsid w:val="00596C42"/>
    <w:rsid w:val="00597605"/>
    <w:rsid w:val="005A091C"/>
    <w:rsid w:val="005A45F4"/>
    <w:rsid w:val="005A4B24"/>
    <w:rsid w:val="005A4F95"/>
    <w:rsid w:val="005A53EC"/>
    <w:rsid w:val="005A672F"/>
    <w:rsid w:val="005B2CF3"/>
    <w:rsid w:val="005B30F3"/>
    <w:rsid w:val="005B51AB"/>
    <w:rsid w:val="005B7FC2"/>
    <w:rsid w:val="005C0205"/>
    <w:rsid w:val="005C0819"/>
    <w:rsid w:val="005C17CB"/>
    <w:rsid w:val="005C2AF2"/>
    <w:rsid w:val="005C4559"/>
    <w:rsid w:val="005C4C90"/>
    <w:rsid w:val="005C585F"/>
    <w:rsid w:val="005C677F"/>
    <w:rsid w:val="005C76CB"/>
    <w:rsid w:val="005D2A00"/>
    <w:rsid w:val="005D3F5B"/>
    <w:rsid w:val="005D50C3"/>
    <w:rsid w:val="005E1863"/>
    <w:rsid w:val="005E211C"/>
    <w:rsid w:val="005E3AE9"/>
    <w:rsid w:val="005E7B7E"/>
    <w:rsid w:val="005F0512"/>
    <w:rsid w:val="005F1562"/>
    <w:rsid w:val="005F1CD6"/>
    <w:rsid w:val="005F21E8"/>
    <w:rsid w:val="005F379F"/>
    <w:rsid w:val="005F645E"/>
    <w:rsid w:val="006000A4"/>
    <w:rsid w:val="00600711"/>
    <w:rsid w:val="00601047"/>
    <w:rsid w:val="0060358A"/>
    <w:rsid w:val="00604003"/>
    <w:rsid w:val="00605739"/>
    <w:rsid w:val="00612BA7"/>
    <w:rsid w:val="0061348D"/>
    <w:rsid w:val="00613BAF"/>
    <w:rsid w:val="006146F2"/>
    <w:rsid w:val="006152A6"/>
    <w:rsid w:val="006204C9"/>
    <w:rsid w:val="006209E8"/>
    <w:rsid w:val="00622492"/>
    <w:rsid w:val="00622DAD"/>
    <w:rsid w:val="0062440F"/>
    <w:rsid w:val="00624D3F"/>
    <w:rsid w:val="00625ADE"/>
    <w:rsid w:val="00626D4D"/>
    <w:rsid w:val="006270B4"/>
    <w:rsid w:val="00630031"/>
    <w:rsid w:val="00630BA7"/>
    <w:rsid w:val="00634BB3"/>
    <w:rsid w:val="00634EC6"/>
    <w:rsid w:val="00635366"/>
    <w:rsid w:val="0063726E"/>
    <w:rsid w:val="00637515"/>
    <w:rsid w:val="006418BD"/>
    <w:rsid w:val="00641922"/>
    <w:rsid w:val="006437E4"/>
    <w:rsid w:val="00650941"/>
    <w:rsid w:val="00652457"/>
    <w:rsid w:val="00653759"/>
    <w:rsid w:val="0065408B"/>
    <w:rsid w:val="006553AB"/>
    <w:rsid w:val="00656779"/>
    <w:rsid w:val="006602E1"/>
    <w:rsid w:val="006603EB"/>
    <w:rsid w:val="00662BC7"/>
    <w:rsid w:val="00670DE6"/>
    <w:rsid w:val="00672A57"/>
    <w:rsid w:val="00675E3D"/>
    <w:rsid w:val="0067637E"/>
    <w:rsid w:val="006776E7"/>
    <w:rsid w:val="0068011E"/>
    <w:rsid w:val="00686CF1"/>
    <w:rsid w:val="006909D1"/>
    <w:rsid w:val="006916AF"/>
    <w:rsid w:val="00693D67"/>
    <w:rsid w:val="00694C75"/>
    <w:rsid w:val="006A134E"/>
    <w:rsid w:val="006A1D00"/>
    <w:rsid w:val="006A23A1"/>
    <w:rsid w:val="006A7345"/>
    <w:rsid w:val="006A742A"/>
    <w:rsid w:val="006A7F8E"/>
    <w:rsid w:val="006B4185"/>
    <w:rsid w:val="006B4547"/>
    <w:rsid w:val="006B5A75"/>
    <w:rsid w:val="006B5FD6"/>
    <w:rsid w:val="006C173E"/>
    <w:rsid w:val="006C3B54"/>
    <w:rsid w:val="006C489C"/>
    <w:rsid w:val="006C4A05"/>
    <w:rsid w:val="006C631E"/>
    <w:rsid w:val="006C6BA4"/>
    <w:rsid w:val="006C7D3F"/>
    <w:rsid w:val="006D06BF"/>
    <w:rsid w:val="006D1BA9"/>
    <w:rsid w:val="006D1E2C"/>
    <w:rsid w:val="006D54BE"/>
    <w:rsid w:val="006E5AB8"/>
    <w:rsid w:val="006E74FC"/>
    <w:rsid w:val="006F3B7B"/>
    <w:rsid w:val="006F4930"/>
    <w:rsid w:val="006F7156"/>
    <w:rsid w:val="006F7D1F"/>
    <w:rsid w:val="006F7EAF"/>
    <w:rsid w:val="00702067"/>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3BFF"/>
    <w:rsid w:val="007244E3"/>
    <w:rsid w:val="00726F46"/>
    <w:rsid w:val="00727460"/>
    <w:rsid w:val="0072760C"/>
    <w:rsid w:val="00732D43"/>
    <w:rsid w:val="007346AD"/>
    <w:rsid w:val="0073512F"/>
    <w:rsid w:val="00743106"/>
    <w:rsid w:val="007436AB"/>
    <w:rsid w:val="007441F5"/>
    <w:rsid w:val="00744425"/>
    <w:rsid w:val="007446B3"/>
    <w:rsid w:val="0074504D"/>
    <w:rsid w:val="007452DF"/>
    <w:rsid w:val="00745A03"/>
    <w:rsid w:val="0074695C"/>
    <w:rsid w:val="00747E0F"/>
    <w:rsid w:val="007506D2"/>
    <w:rsid w:val="00751066"/>
    <w:rsid w:val="0075664E"/>
    <w:rsid w:val="0075674B"/>
    <w:rsid w:val="0075704C"/>
    <w:rsid w:val="00757297"/>
    <w:rsid w:val="00760E98"/>
    <w:rsid w:val="007610CE"/>
    <w:rsid w:val="00762D60"/>
    <w:rsid w:val="007635C4"/>
    <w:rsid w:val="007635D2"/>
    <w:rsid w:val="00763BDF"/>
    <w:rsid w:val="00765C2C"/>
    <w:rsid w:val="00774785"/>
    <w:rsid w:val="0077532D"/>
    <w:rsid w:val="00775690"/>
    <w:rsid w:val="00776079"/>
    <w:rsid w:val="007762E3"/>
    <w:rsid w:val="0077647B"/>
    <w:rsid w:val="00777D55"/>
    <w:rsid w:val="00780D3D"/>
    <w:rsid w:val="00782699"/>
    <w:rsid w:val="0078284C"/>
    <w:rsid w:val="00782B67"/>
    <w:rsid w:val="00783D25"/>
    <w:rsid w:val="00785DA9"/>
    <w:rsid w:val="00787BEA"/>
    <w:rsid w:val="00790DA7"/>
    <w:rsid w:val="007938D2"/>
    <w:rsid w:val="007943AC"/>
    <w:rsid w:val="007A25CA"/>
    <w:rsid w:val="007A274E"/>
    <w:rsid w:val="007A3450"/>
    <w:rsid w:val="007A5D5F"/>
    <w:rsid w:val="007A6009"/>
    <w:rsid w:val="007A6980"/>
    <w:rsid w:val="007B0CBA"/>
    <w:rsid w:val="007B13EB"/>
    <w:rsid w:val="007B2667"/>
    <w:rsid w:val="007B2D48"/>
    <w:rsid w:val="007B32D3"/>
    <w:rsid w:val="007B32D8"/>
    <w:rsid w:val="007C07F5"/>
    <w:rsid w:val="007C139C"/>
    <w:rsid w:val="007C3543"/>
    <w:rsid w:val="007C3DC3"/>
    <w:rsid w:val="007C4025"/>
    <w:rsid w:val="007C6EBC"/>
    <w:rsid w:val="007D08CB"/>
    <w:rsid w:val="007D286E"/>
    <w:rsid w:val="007D2C53"/>
    <w:rsid w:val="007D2D72"/>
    <w:rsid w:val="007D3961"/>
    <w:rsid w:val="007D5E13"/>
    <w:rsid w:val="007D6635"/>
    <w:rsid w:val="007E1DC5"/>
    <w:rsid w:val="007E54C2"/>
    <w:rsid w:val="007F19E1"/>
    <w:rsid w:val="007F2710"/>
    <w:rsid w:val="007F473A"/>
    <w:rsid w:val="007F6898"/>
    <w:rsid w:val="007F6A39"/>
    <w:rsid w:val="007F6EDB"/>
    <w:rsid w:val="00800CF9"/>
    <w:rsid w:val="00801645"/>
    <w:rsid w:val="0080275D"/>
    <w:rsid w:val="008034D6"/>
    <w:rsid w:val="00806866"/>
    <w:rsid w:val="008070EE"/>
    <w:rsid w:val="0081127A"/>
    <w:rsid w:val="0081293B"/>
    <w:rsid w:val="00813679"/>
    <w:rsid w:val="00813983"/>
    <w:rsid w:val="00816241"/>
    <w:rsid w:val="00820B1C"/>
    <w:rsid w:val="00826D63"/>
    <w:rsid w:val="008306B8"/>
    <w:rsid w:val="00830AF9"/>
    <w:rsid w:val="008312CF"/>
    <w:rsid w:val="0083368D"/>
    <w:rsid w:val="00833B99"/>
    <w:rsid w:val="008351A8"/>
    <w:rsid w:val="008416CC"/>
    <w:rsid w:val="00843BF3"/>
    <w:rsid w:val="008440C7"/>
    <w:rsid w:val="00845310"/>
    <w:rsid w:val="0084626F"/>
    <w:rsid w:val="00846538"/>
    <w:rsid w:val="0085030B"/>
    <w:rsid w:val="00850890"/>
    <w:rsid w:val="00852F17"/>
    <w:rsid w:val="00853D3B"/>
    <w:rsid w:val="00856A17"/>
    <w:rsid w:val="00866C89"/>
    <w:rsid w:val="008705F8"/>
    <w:rsid w:val="00870B3D"/>
    <w:rsid w:val="00871F41"/>
    <w:rsid w:val="00872B02"/>
    <w:rsid w:val="00873173"/>
    <w:rsid w:val="00874297"/>
    <w:rsid w:val="008751C9"/>
    <w:rsid w:val="0088324F"/>
    <w:rsid w:val="0088459D"/>
    <w:rsid w:val="00884C58"/>
    <w:rsid w:val="0088560D"/>
    <w:rsid w:val="0088766A"/>
    <w:rsid w:val="00891AED"/>
    <w:rsid w:val="00891D67"/>
    <w:rsid w:val="0089515C"/>
    <w:rsid w:val="00897AAD"/>
    <w:rsid w:val="008A073E"/>
    <w:rsid w:val="008B054C"/>
    <w:rsid w:val="008B280F"/>
    <w:rsid w:val="008B3F85"/>
    <w:rsid w:val="008B5F85"/>
    <w:rsid w:val="008B7E42"/>
    <w:rsid w:val="008C1DBD"/>
    <w:rsid w:val="008C561B"/>
    <w:rsid w:val="008C66F8"/>
    <w:rsid w:val="008C6ACF"/>
    <w:rsid w:val="008D0408"/>
    <w:rsid w:val="008D078C"/>
    <w:rsid w:val="008D2634"/>
    <w:rsid w:val="008D2F39"/>
    <w:rsid w:val="008D45EA"/>
    <w:rsid w:val="008D521C"/>
    <w:rsid w:val="008D6F6A"/>
    <w:rsid w:val="008E2BCE"/>
    <w:rsid w:val="008E49E5"/>
    <w:rsid w:val="008E666E"/>
    <w:rsid w:val="008E66DA"/>
    <w:rsid w:val="008E70C1"/>
    <w:rsid w:val="008E7315"/>
    <w:rsid w:val="008E7969"/>
    <w:rsid w:val="008F007C"/>
    <w:rsid w:val="008F1F5E"/>
    <w:rsid w:val="008F430B"/>
    <w:rsid w:val="008F7A5C"/>
    <w:rsid w:val="009016BB"/>
    <w:rsid w:val="009044AC"/>
    <w:rsid w:val="0090556A"/>
    <w:rsid w:val="0090572F"/>
    <w:rsid w:val="00907261"/>
    <w:rsid w:val="009113CA"/>
    <w:rsid w:val="009132C9"/>
    <w:rsid w:val="0091355B"/>
    <w:rsid w:val="00913E74"/>
    <w:rsid w:val="00916BFD"/>
    <w:rsid w:val="00921345"/>
    <w:rsid w:val="00921361"/>
    <w:rsid w:val="00923DA1"/>
    <w:rsid w:val="00923FC5"/>
    <w:rsid w:val="0092531E"/>
    <w:rsid w:val="00926C4B"/>
    <w:rsid w:val="00927158"/>
    <w:rsid w:val="00927619"/>
    <w:rsid w:val="0092799D"/>
    <w:rsid w:val="0093162F"/>
    <w:rsid w:val="00935812"/>
    <w:rsid w:val="00936B34"/>
    <w:rsid w:val="00942117"/>
    <w:rsid w:val="0095015B"/>
    <w:rsid w:val="00955D5D"/>
    <w:rsid w:val="0095672D"/>
    <w:rsid w:val="00957682"/>
    <w:rsid w:val="00957E2A"/>
    <w:rsid w:val="0096136D"/>
    <w:rsid w:val="00962AC4"/>
    <w:rsid w:val="00965EDA"/>
    <w:rsid w:val="0096715D"/>
    <w:rsid w:val="00967778"/>
    <w:rsid w:val="00967CB3"/>
    <w:rsid w:val="00967E42"/>
    <w:rsid w:val="00975599"/>
    <w:rsid w:val="00975D50"/>
    <w:rsid w:val="00977AEF"/>
    <w:rsid w:val="00980E15"/>
    <w:rsid w:val="009818BE"/>
    <w:rsid w:val="00981F08"/>
    <w:rsid w:val="00981F59"/>
    <w:rsid w:val="00982196"/>
    <w:rsid w:val="00982699"/>
    <w:rsid w:val="00982B92"/>
    <w:rsid w:val="00985FCB"/>
    <w:rsid w:val="00987B0A"/>
    <w:rsid w:val="00993B26"/>
    <w:rsid w:val="00996F3A"/>
    <w:rsid w:val="00997992"/>
    <w:rsid w:val="00997B62"/>
    <w:rsid w:val="009A0912"/>
    <w:rsid w:val="009A0C0B"/>
    <w:rsid w:val="009A15B9"/>
    <w:rsid w:val="009A342E"/>
    <w:rsid w:val="009A54C1"/>
    <w:rsid w:val="009A6174"/>
    <w:rsid w:val="009A6652"/>
    <w:rsid w:val="009B0013"/>
    <w:rsid w:val="009B1773"/>
    <w:rsid w:val="009B234E"/>
    <w:rsid w:val="009B38B2"/>
    <w:rsid w:val="009B5181"/>
    <w:rsid w:val="009B67D6"/>
    <w:rsid w:val="009B777B"/>
    <w:rsid w:val="009C3A04"/>
    <w:rsid w:val="009C4166"/>
    <w:rsid w:val="009C5942"/>
    <w:rsid w:val="009D45D3"/>
    <w:rsid w:val="009D4E1A"/>
    <w:rsid w:val="009E1A96"/>
    <w:rsid w:val="009E2532"/>
    <w:rsid w:val="009E3D12"/>
    <w:rsid w:val="009E6D2D"/>
    <w:rsid w:val="009E7F11"/>
    <w:rsid w:val="009F161A"/>
    <w:rsid w:val="009F3332"/>
    <w:rsid w:val="009F43AC"/>
    <w:rsid w:val="009F4A18"/>
    <w:rsid w:val="009F556A"/>
    <w:rsid w:val="009F5E5F"/>
    <w:rsid w:val="00A007C2"/>
    <w:rsid w:val="00A03669"/>
    <w:rsid w:val="00A04667"/>
    <w:rsid w:val="00A05E6A"/>
    <w:rsid w:val="00A066C5"/>
    <w:rsid w:val="00A07C2C"/>
    <w:rsid w:val="00A10C3C"/>
    <w:rsid w:val="00A134DA"/>
    <w:rsid w:val="00A1539C"/>
    <w:rsid w:val="00A16ED9"/>
    <w:rsid w:val="00A17D98"/>
    <w:rsid w:val="00A205A4"/>
    <w:rsid w:val="00A21FA5"/>
    <w:rsid w:val="00A30488"/>
    <w:rsid w:val="00A305EC"/>
    <w:rsid w:val="00A3135C"/>
    <w:rsid w:val="00A340FE"/>
    <w:rsid w:val="00A352B7"/>
    <w:rsid w:val="00A357F0"/>
    <w:rsid w:val="00A40CC4"/>
    <w:rsid w:val="00A45C71"/>
    <w:rsid w:val="00A464C7"/>
    <w:rsid w:val="00A5033C"/>
    <w:rsid w:val="00A504BF"/>
    <w:rsid w:val="00A51EB6"/>
    <w:rsid w:val="00A52194"/>
    <w:rsid w:val="00A524F3"/>
    <w:rsid w:val="00A56A83"/>
    <w:rsid w:val="00A6075D"/>
    <w:rsid w:val="00A6080C"/>
    <w:rsid w:val="00A61BBD"/>
    <w:rsid w:val="00A61C13"/>
    <w:rsid w:val="00A627EC"/>
    <w:rsid w:val="00A635DA"/>
    <w:rsid w:val="00A6376F"/>
    <w:rsid w:val="00A63EC1"/>
    <w:rsid w:val="00A648A2"/>
    <w:rsid w:val="00A65E9B"/>
    <w:rsid w:val="00A66025"/>
    <w:rsid w:val="00A67AE7"/>
    <w:rsid w:val="00A70594"/>
    <w:rsid w:val="00A73BE6"/>
    <w:rsid w:val="00A73FA3"/>
    <w:rsid w:val="00A75B08"/>
    <w:rsid w:val="00A75D77"/>
    <w:rsid w:val="00A75E84"/>
    <w:rsid w:val="00A76003"/>
    <w:rsid w:val="00A7689E"/>
    <w:rsid w:val="00A82146"/>
    <w:rsid w:val="00A82EAD"/>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5D84"/>
    <w:rsid w:val="00AA6A69"/>
    <w:rsid w:val="00AA7CF3"/>
    <w:rsid w:val="00AB0FF8"/>
    <w:rsid w:val="00AB3821"/>
    <w:rsid w:val="00AB7DC6"/>
    <w:rsid w:val="00AC00F6"/>
    <w:rsid w:val="00AC09D4"/>
    <w:rsid w:val="00AC2132"/>
    <w:rsid w:val="00AC21FB"/>
    <w:rsid w:val="00AC2538"/>
    <w:rsid w:val="00AC2BF9"/>
    <w:rsid w:val="00AC2C00"/>
    <w:rsid w:val="00AC355B"/>
    <w:rsid w:val="00AC3C97"/>
    <w:rsid w:val="00AC533F"/>
    <w:rsid w:val="00AC650C"/>
    <w:rsid w:val="00AC7921"/>
    <w:rsid w:val="00AC7E46"/>
    <w:rsid w:val="00AC7EF4"/>
    <w:rsid w:val="00AD15C8"/>
    <w:rsid w:val="00AD16C9"/>
    <w:rsid w:val="00AD2ACC"/>
    <w:rsid w:val="00AD43F8"/>
    <w:rsid w:val="00AD560C"/>
    <w:rsid w:val="00AE0A69"/>
    <w:rsid w:val="00AE155F"/>
    <w:rsid w:val="00AE305C"/>
    <w:rsid w:val="00AE3603"/>
    <w:rsid w:val="00AE4341"/>
    <w:rsid w:val="00AF3455"/>
    <w:rsid w:val="00AF5A78"/>
    <w:rsid w:val="00AF73BE"/>
    <w:rsid w:val="00AF7E62"/>
    <w:rsid w:val="00B05597"/>
    <w:rsid w:val="00B10041"/>
    <w:rsid w:val="00B13BF0"/>
    <w:rsid w:val="00B14BF9"/>
    <w:rsid w:val="00B15683"/>
    <w:rsid w:val="00B158C7"/>
    <w:rsid w:val="00B16A36"/>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7017"/>
    <w:rsid w:val="00B3780E"/>
    <w:rsid w:val="00B37BFD"/>
    <w:rsid w:val="00B405BB"/>
    <w:rsid w:val="00B4113D"/>
    <w:rsid w:val="00B519B5"/>
    <w:rsid w:val="00B51ACA"/>
    <w:rsid w:val="00B51FDC"/>
    <w:rsid w:val="00B52503"/>
    <w:rsid w:val="00B56F49"/>
    <w:rsid w:val="00B605CB"/>
    <w:rsid w:val="00B62E48"/>
    <w:rsid w:val="00B63420"/>
    <w:rsid w:val="00B63616"/>
    <w:rsid w:val="00B641C8"/>
    <w:rsid w:val="00B7049A"/>
    <w:rsid w:val="00B7100B"/>
    <w:rsid w:val="00B71A67"/>
    <w:rsid w:val="00B723FC"/>
    <w:rsid w:val="00B74BCD"/>
    <w:rsid w:val="00B76336"/>
    <w:rsid w:val="00B77B8F"/>
    <w:rsid w:val="00B805A9"/>
    <w:rsid w:val="00B823E4"/>
    <w:rsid w:val="00B8318E"/>
    <w:rsid w:val="00B831AB"/>
    <w:rsid w:val="00B840F7"/>
    <w:rsid w:val="00B85698"/>
    <w:rsid w:val="00B85EB6"/>
    <w:rsid w:val="00B87DD5"/>
    <w:rsid w:val="00B918CD"/>
    <w:rsid w:val="00B9212B"/>
    <w:rsid w:val="00B927EB"/>
    <w:rsid w:val="00B92FCF"/>
    <w:rsid w:val="00B94A87"/>
    <w:rsid w:val="00B964C0"/>
    <w:rsid w:val="00B97102"/>
    <w:rsid w:val="00BA23E8"/>
    <w:rsid w:val="00BA435C"/>
    <w:rsid w:val="00BA4E94"/>
    <w:rsid w:val="00BA5E5B"/>
    <w:rsid w:val="00BB375E"/>
    <w:rsid w:val="00BB5665"/>
    <w:rsid w:val="00BB579C"/>
    <w:rsid w:val="00BB5C2E"/>
    <w:rsid w:val="00BB76D6"/>
    <w:rsid w:val="00BB7B9B"/>
    <w:rsid w:val="00BC08AF"/>
    <w:rsid w:val="00BC0C1B"/>
    <w:rsid w:val="00BC0D40"/>
    <w:rsid w:val="00BC3B30"/>
    <w:rsid w:val="00BC604A"/>
    <w:rsid w:val="00BC71FF"/>
    <w:rsid w:val="00BC7394"/>
    <w:rsid w:val="00BC761E"/>
    <w:rsid w:val="00BD33E3"/>
    <w:rsid w:val="00BD3447"/>
    <w:rsid w:val="00BE252E"/>
    <w:rsid w:val="00BE461D"/>
    <w:rsid w:val="00BE5972"/>
    <w:rsid w:val="00BF04DF"/>
    <w:rsid w:val="00BF2F15"/>
    <w:rsid w:val="00BF4928"/>
    <w:rsid w:val="00BF58C8"/>
    <w:rsid w:val="00BF7713"/>
    <w:rsid w:val="00C01D9C"/>
    <w:rsid w:val="00C05DCB"/>
    <w:rsid w:val="00C1021E"/>
    <w:rsid w:val="00C1549B"/>
    <w:rsid w:val="00C208D5"/>
    <w:rsid w:val="00C23005"/>
    <w:rsid w:val="00C25966"/>
    <w:rsid w:val="00C25B7A"/>
    <w:rsid w:val="00C26DDF"/>
    <w:rsid w:val="00C275C6"/>
    <w:rsid w:val="00C27CB2"/>
    <w:rsid w:val="00C315EC"/>
    <w:rsid w:val="00C32262"/>
    <w:rsid w:val="00C3254F"/>
    <w:rsid w:val="00C33FE5"/>
    <w:rsid w:val="00C35265"/>
    <w:rsid w:val="00C35D84"/>
    <w:rsid w:val="00C36340"/>
    <w:rsid w:val="00C36840"/>
    <w:rsid w:val="00C36DA9"/>
    <w:rsid w:val="00C4025A"/>
    <w:rsid w:val="00C40CFB"/>
    <w:rsid w:val="00C41E69"/>
    <w:rsid w:val="00C4205E"/>
    <w:rsid w:val="00C4234F"/>
    <w:rsid w:val="00C42F3B"/>
    <w:rsid w:val="00C43CA4"/>
    <w:rsid w:val="00C43F91"/>
    <w:rsid w:val="00C4451A"/>
    <w:rsid w:val="00C45816"/>
    <w:rsid w:val="00C45E9D"/>
    <w:rsid w:val="00C461AD"/>
    <w:rsid w:val="00C529F5"/>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87948"/>
    <w:rsid w:val="00C94A54"/>
    <w:rsid w:val="00C95E67"/>
    <w:rsid w:val="00C96F0E"/>
    <w:rsid w:val="00C976B4"/>
    <w:rsid w:val="00CA204D"/>
    <w:rsid w:val="00CA55D6"/>
    <w:rsid w:val="00CA5E5C"/>
    <w:rsid w:val="00CA6C9A"/>
    <w:rsid w:val="00CA79C4"/>
    <w:rsid w:val="00CB0038"/>
    <w:rsid w:val="00CB4FA0"/>
    <w:rsid w:val="00CB57A4"/>
    <w:rsid w:val="00CB5E9B"/>
    <w:rsid w:val="00CB603F"/>
    <w:rsid w:val="00CB7B44"/>
    <w:rsid w:val="00CC049E"/>
    <w:rsid w:val="00CC6CFC"/>
    <w:rsid w:val="00CC769A"/>
    <w:rsid w:val="00CC7E35"/>
    <w:rsid w:val="00CC7F52"/>
    <w:rsid w:val="00CD028E"/>
    <w:rsid w:val="00CD1C9A"/>
    <w:rsid w:val="00CD3C93"/>
    <w:rsid w:val="00CD46C5"/>
    <w:rsid w:val="00CD4ABC"/>
    <w:rsid w:val="00CD50FB"/>
    <w:rsid w:val="00CE0DCC"/>
    <w:rsid w:val="00CE37C1"/>
    <w:rsid w:val="00CE631F"/>
    <w:rsid w:val="00CE759D"/>
    <w:rsid w:val="00CF00CA"/>
    <w:rsid w:val="00CF0E62"/>
    <w:rsid w:val="00CF16AA"/>
    <w:rsid w:val="00CF4FD7"/>
    <w:rsid w:val="00CF5147"/>
    <w:rsid w:val="00D01E24"/>
    <w:rsid w:val="00D02017"/>
    <w:rsid w:val="00D02E63"/>
    <w:rsid w:val="00D03530"/>
    <w:rsid w:val="00D04030"/>
    <w:rsid w:val="00D04211"/>
    <w:rsid w:val="00D04CC5"/>
    <w:rsid w:val="00D053DB"/>
    <w:rsid w:val="00D0731C"/>
    <w:rsid w:val="00D07B7D"/>
    <w:rsid w:val="00D07E57"/>
    <w:rsid w:val="00D112A1"/>
    <w:rsid w:val="00D140D3"/>
    <w:rsid w:val="00D153F5"/>
    <w:rsid w:val="00D160A0"/>
    <w:rsid w:val="00D1703C"/>
    <w:rsid w:val="00D17AF8"/>
    <w:rsid w:val="00D2188E"/>
    <w:rsid w:val="00D23B20"/>
    <w:rsid w:val="00D23DD7"/>
    <w:rsid w:val="00D271A9"/>
    <w:rsid w:val="00D313E6"/>
    <w:rsid w:val="00D33B7C"/>
    <w:rsid w:val="00D36750"/>
    <w:rsid w:val="00D37714"/>
    <w:rsid w:val="00D41B02"/>
    <w:rsid w:val="00D42484"/>
    <w:rsid w:val="00D43288"/>
    <w:rsid w:val="00D45FC0"/>
    <w:rsid w:val="00D460CA"/>
    <w:rsid w:val="00D5032B"/>
    <w:rsid w:val="00D5180D"/>
    <w:rsid w:val="00D53621"/>
    <w:rsid w:val="00D53731"/>
    <w:rsid w:val="00D63D58"/>
    <w:rsid w:val="00D64888"/>
    <w:rsid w:val="00D662A3"/>
    <w:rsid w:val="00D66FAC"/>
    <w:rsid w:val="00D71C71"/>
    <w:rsid w:val="00D71CC2"/>
    <w:rsid w:val="00D721C9"/>
    <w:rsid w:val="00D72DE1"/>
    <w:rsid w:val="00D81848"/>
    <w:rsid w:val="00D81F53"/>
    <w:rsid w:val="00D8265E"/>
    <w:rsid w:val="00D8468E"/>
    <w:rsid w:val="00D861B9"/>
    <w:rsid w:val="00D86587"/>
    <w:rsid w:val="00D90B95"/>
    <w:rsid w:val="00D91934"/>
    <w:rsid w:val="00D923EE"/>
    <w:rsid w:val="00D932DC"/>
    <w:rsid w:val="00D95D8A"/>
    <w:rsid w:val="00DA2274"/>
    <w:rsid w:val="00DA2FFD"/>
    <w:rsid w:val="00DA3C98"/>
    <w:rsid w:val="00DA438D"/>
    <w:rsid w:val="00DA7B7B"/>
    <w:rsid w:val="00DA7D42"/>
    <w:rsid w:val="00DB1F7C"/>
    <w:rsid w:val="00DC2852"/>
    <w:rsid w:val="00DC33F6"/>
    <w:rsid w:val="00DC390C"/>
    <w:rsid w:val="00DC4BA9"/>
    <w:rsid w:val="00DD0E68"/>
    <w:rsid w:val="00DD1D23"/>
    <w:rsid w:val="00DD6D45"/>
    <w:rsid w:val="00DD7239"/>
    <w:rsid w:val="00DE01C2"/>
    <w:rsid w:val="00DE0F96"/>
    <w:rsid w:val="00DE2ACE"/>
    <w:rsid w:val="00DE35AA"/>
    <w:rsid w:val="00DE39E2"/>
    <w:rsid w:val="00DE3DB7"/>
    <w:rsid w:val="00DE53F9"/>
    <w:rsid w:val="00DE71B8"/>
    <w:rsid w:val="00DF28F8"/>
    <w:rsid w:val="00DF2CDB"/>
    <w:rsid w:val="00DF4F25"/>
    <w:rsid w:val="00DF534C"/>
    <w:rsid w:val="00E01F1B"/>
    <w:rsid w:val="00E0291F"/>
    <w:rsid w:val="00E03874"/>
    <w:rsid w:val="00E03C64"/>
    <w:rsid w:val="00E0719A"/>
    <w:rsid w:val="00E0769B"/>
    <w:rsid w:val="00E0783F"/>
    <w:rsid w:val="00E1027B"/>
    <w:rsid w:val="00E11813"/>
    <w:rsid w:val="00E13F73"/>
    <w:rsid w:val="00E1410B"/>
    <w:rsid w:val="00E1553D"/>
    <w:rsid w:val="00E15FBA"/>
    <w:rsid w:val="00E22A4D"/>
    <w:rsid w:val="00E25A8E"/>
    <w:rsid w:val="00E27005"/>
    <w:rsid w:val="00E2742E"/>
    <w:rsid w:val="00E3004D"/>
    <w:rsid w:val="00E31CA4"/>
    <w:rsid w:val="00E31ED9"/>
    <w:rsid w:val="00E32D62"/>
    <w:rsid w:val="00E331C1"/>
    <w:rsid w:val="00E33E27"/>
    <w:rsid w:val="00E34BE3"/>
    <w:rsid w:val="00E42F5F"/>
    <w:rsid w:val="00E42FC7"/>
    <w:rsid w:val="00E4492D"/>
    <w:rsid w:val="00E4501E"/>
    <w:rsid w:val="00E50249"/>
    <w:rsid w:val="00E53CA1"/>
    <w:rsid w:val="00E55BE0"/>
    <w:rsid w:val="00E55C1B"/>
    <w:rsid w:val="00E57F06"/>
    <w:rsid w:val="00E60151"/>
    <w:rsid w:val="00E60C0F"/>
    <w:rsid w:val="00E6109F"/>
    <w:rsid w:val="00E630DA"/>
    <w:rsid w:val="00E644EA"/>
    <w:rsid w:val="00E66838"/>
    <w:rsid w:val="00E668F9"/>
    <w:rsid w:val="00E66EA6"/>
    <w:rsid w:val="00E67983"/>
    <w:rsid w:val="00E7219E"/>
    <w:rsid w:val="00E73525"/>
    <w:rsid w:val="00E75D40"/>
    <w:rsid w:val="00E76861"/>
    <w:rsid w:val="00E76AD9"/>
    <w:rsid w:val="00E76B1F"/>
    <w:rsid w:val="00E76F24"/>
    <w:rsid w:val="00E81542"/>
    <w:rsid w:val="00E822A7"/>
    <w:rsid w:val="00E824E1"/>
    <w:rsid w:val="00E8362C"/>
    <w:rsid w:val="00E847EE"/>
    <w:rsid w:val="00E86B05"/>
    <w:rsid w:val="00E9324B"/>
    <w:rsid w:val="00E9528D"/>
    <w:rsid w:val="00E95DCF"/>
    <w:rsid w:val="00E969E7"/>
    <w:rsid w:val="00E97DE3"/>
    <w:rsid w:val="00EA081B"/>
    <w:rsid w:val="00EA5FF5"/>
    <w:rsid w:val="00EA7D02"/>
    <w:rsid w:val="00EB1098"/>
    <w:rsid w:val="00EB2783"/>
    <w:rsid w:val="00EB59EB"/>
    <w:rsid w:val="00EB7E03"/>
    <w:rsid w:val="00EC531F"/>
    <w:rsid w:val="00EC56AB"/>
    <w:rsid w:val="00EC5966"/>
    <w:rsid w:val="00ED1E78"/>
    <w:rsid w:val="00ED41DD"/>
    <w:rsid w:val="00ED6989"/>
    <w:rsid w:val="00ED6E23"/>
    <w:rsid w:val="00EE08F1"/>
    <w:rsid w:val="00EE2B28"/>
    <w:rsid w:val="00EF5604"/>
    <w:rsid w:val="00EF58AD"/>
    <w:rsid w:val="00F00CBF"/>
    <w:rsid w:val="00F02886"/>
    <w:rsid w:val="00F035E9"/>
    <w:rsid w:val="00F036C3"/>
    <w:rsid w:val="00F12565"/>
    <w:rsid w:val="00F16112"/>
    <w:rsid w:val="00F1796E"/>
    <w:rsid w:val="00F22ED8"/>
    <w:rsid w:val="00F24BF9"/>
    <w:rsid w:val="00F31CBB"/>
    <w:rsid w:val="00F32104"/>
    <w:rsid w:val="00F3322D"/>
    <w:rsid w:val="00F34DB3"/>
    <w:rsid w:val="00F34FD7"/>
    <w:rsid w:val="00F35829"/>
    <w:rsid w:val="00F37B82"/>
    <w:rsid w:val="00F4050A"/>
    <w:rsid w:val="00F40FE4"/>
    <w:rsid w:val="00F41499"/>
    <w:rsid w:val="00F43350"/>
    <w:rsid w:val="00F44C42"/>
    <w:rsid w:val="00F4775F"/>
    <w:rsid w:val="00F53560"/>
    <w:rsid w:val="00F55425"/>
    <w:rsid w:val="00F5741A"/>
    <w:rsid w:val="00F61DF5"/>
    <w:rsid w:val="00F621D4"/>
    <w:rsid w:val="00F6365C"/>
    <w:rsid w:val="00F64FB1"/>
    <w:rsid w:val="00F662AE"/>
    <w:rsid w:val="00F6768D"/>
    <w:rsid w:val="00F72FA9"/>
    <w:rsid w:val="00F73060"/>
    <w:rsid w:val="00F77AFB"/>
    <w:rsid w:val="00F77E30"/>
    <w:rsid w:val="00F80F5D"/>
    <w:rsid w:val="00F8381B"/>
    <w:rsid w:val="00F84440"/>
    <w:rsid w:val="00F928B7"/>
    <w:rsid w:val="00F930E4"/>
    <w:rsid w:val="00F93AD8"/>
    <w:rsid w:val="00F97837"/>
    <w:rsid w:val="00FA1774"/>
    <w:rsid w:val="00FA1A75"/>
    <w:rsid w:val="00FA2F8A"/>
    <w:rsid w:val="00FB101D"/>
    <w:rsid w:val="00FB1AFE"/>
    <w:rsid w:val="00FB28A8"/>
    <w:rsid w:val="00FB2A36"/>
    <w:rsid w:val="00FB3881"/>
    <w:rsid w:val="00FB6547"/>
    <w:rsid w:val="00FB79CE"/>
    <w:rsid w:val="00FC180F"/>
    <w:rsid w:val="00FC3C6C"/>
    <w:rsid w:val="00FC4D71"/>
    <w:rsid w:val="00FC6AD3"/>
    <w:rsid w:val="00FD0DC6"/>
    <w:rsid w:val="00FD2A66"/>
    <w:rsid w:val="00FD37D7"/>
    <w:rsid w:val="00FD5256"/>
    <w:rsid w:val="00FE0665"/>
    <w:rsid w:val="00FE2EDA"/>
    <w:rsid w:val="00FE2F5E"/>
    <w:rsid w:val="00FE6F88"/>
    <w:rsid w:val="00FE73E8"/>
    <w:rsid w:val="00FF1444"/>
    <w:rsid w:val="00FF1581"/>
    <w:rsid w:val="00FF2406"/>
    <w:rsid w:val="00FF4A52"/>
    <w:rsid w:val="00FF6917"/>
    <w:rsid w:val="051D490A"/>
    <w:rsid w:val="05257DB8"/>
    <w:rsid w:val="097B1144"/>
    <w:rsid w:val="0A0747BA"/>
    <w:rsid w:val="0AE3660F"/>
    <w:rsid w:val="0DCB2FEA"/>
    <w:rsid w:val="1148059F"/>
    <w:rsid w:val="12D2552A"/>
    <w:rsid w:val="28E06B50"/>
    <w:rsid w:val="2ABE39EC"/>
    <w:rsid w:val="2C027A40"/>
    <w:rsid w:val="36BB726A"/>
    <w:rsid w:val="37DA3025"/>
    <w:rsid w:val="3A552986"/>
    <w:rsid w:val="46376CEB"/>
    <w:rsid w:val="4AEF2BED"/>
    <w:rsid w:val="4CD151F1"/>
    <w:rsid w:val="50191CFF"/>
    <w:rsid w:val="59350572"/>
    <w:rsid w:val="59AF4A77"/>
    <w:rsid w:val="5A0F0417"/>
    <w:rsid w:val="60BF53D8"/>
    <w:rsid w:val="658D28F4"/>
    <w:rsid w:val="67954DBA"/>
    <w:rsid w:val="689E573C"/>
    <w:rsid w:val="69313DF4"/>
    <w:rsid w:val="6B8B678A"/>
    <w:rsid w:val="6CA0072B"/>
    <w:rsid w:val="6D60431D"/>
    <w:rsid w:val="7A574716"/>
    <w:rsid w:val="7E5A14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Lines="50" w:line="360" w:lineRule="auto"/>
      <w:ind w:firstLine="0" w:firstLineChars="0"/>
      <w:jc w:val="left"/>
      <w:outlineLvl w:val="1"/>
    </w:pPr>
    <w:rPr>
      <w:rFonts w:ascii="Arial" w:hAnsi="Arial" w:eastAsia="黑体"/>
      <w:bCs/>
      <w:kern w:val="0"/>
      <w:sz w:val="28"/>
      <w:szCs w:val="32"/>
    </w:rPr>
  </w:style>
  <w:style w:type="paragraph" w:styleId="4">
    <w:name w:val="heading 3"/>
    <w:basedOn w:val="1"/>
    <w:next w:val="1"/>
    <w:link w:val="39"/>
    <w:qFormat/>
    <w:uiPriority w:val="0"/>
    <w:pPr>
      <w:keepNext/>
      <w:keepLines/>
      <w:spacing w:before="120" w:after="120"/>
      <w:outlineLvl w:val="2"/>
    </w:pPr>
    <w:rPr>
      <w:b/>
      <w:bCs/>
      <w:sz w:val="21"/>
      <w:szCs w:val="32"/>
    </w:rPr>
  </w:style>
  <w:style w:type="paragraph" w:styleId="5">
    <w:name w:val="heading 4"/>
    <w:basedOn w:val="1"/>
    <w:next w:val="1"/>
    <w:link w:val="40"/>
    <w:qFormat/>
    <w:uiPriority w:val="0"/>
    <w:pPr>
      <w:keepNext/>
      <w:keepLines/>
      <w:spacing w:line="360" w:lineRule="auto"/>
      <w:jc w:val="left"/>
      <w:outlineLvl w:val="3"/>
    </w:pPr>
    <w:rPr>
      <w:rFonts w:ascii="Cambria" w:hAnsi="Cambria" w:eastAsia="黑体"/>
      <w:bCs/>
      <w:szCs w:val="28"/>
    </w:rPr>
  </w:style>
  <w:style w:type="paragraph" w:styleId="6">
    <w:name w:val="heading 8"/>
    <w:basedOn w:val="1"/>
    <w:next w:val="1"/>
    <w:link w:val="41"/>
    <w:qFormat/>
    <w:uiPriority w:val="0"/>
    <w:pPr>
      <w:keepNext/>
      <w:keepLines/>
      <w:spacing w:before="240" w:after="64" w:line="320" w:lineRule="auto"/>
      <w:outlineLvl w:val="7"/>
    </w:pPr>
    <w:rPr>
      <w:rFonts w:ascii="Cambria" w:hAnsi="Cambria"/>
      <w:szCs w:val="24"/>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62"/>
    <w:qFormat/>
    <w:uiPriority w:val="0"/>
    <w:pPr>
      <w:ind w:firstLine="420"/>
    </w:pPr>
  </w:style>
  <w:style w:type="paragraph" w:styleId="8">
    <w:name w:val="caption"/>
    <w:basedOn w:val="1"/>
    <w:next w:val="1"/>
    <w:qFormat/>
    <w:uiPriority w:val="0"/>
    <w:pPr>
      <w:spacing w:line="480" w:lineRule="auto"/>
    </w:pPr>
    <w:rPr>
      <w:rFonts w:ascii="华文中宋" w:hAnsi="华文中宋" w:eastAsia="华文中宋"/>
      <w:sz w:val="36"/>
    </w:rPr>
  </w:style>
  <w:style w:type="paragraph" w:styleId="9">
    <w:name w:val="Document Map"/>
    <w:basedOn w:val="1"/>
    <w:qFormat/>
    <w:uiPriority w:val="0"/>
    <w:pPr>
      <w:shd w:val="clear" w:color="auto" w:fill="000080"/>
    </w:pPr>
  </w:style>
  <w:style w:type="paragraph" w:styleId="10">
    <w:name w:val="annotation text"/>
    <w:basedOn w:val="1"/>
    <w:link w:val="52"/>
    <w:qFormat/>
    <w:uiPriority w:val="99"/>
    <w:pPr>
      <w:jc w:val="left"/>
    </w:pPr>
    <w:rPr>
      <w:sz w:val="21"/>
    </w:rPr>
  </w:style>
  <w:style w:type="paragraph" w:styleId="11">
    <w:name w:val="Body Text 3"/>
    <w:basedOn w:val="1"/>
    <w:link w:val="45"/>
    <w:qFormat/>
    <w:uiPriority w:val="0"/>
    <w:pPr>
      <w:spacing w:after="120" w:line="360" w:lineRule="auto"/>
    </w:pPr>
    <w:rPr>
      <w:kern w:val="0"/>
      <w:sz w:val="16"/>
      <w:szCs w:val="16"/>
    </w:rPr>
  </w:style>
  <w:style w:type="paragraph" w:styleId="12">
    <w:name w:val="Body Text"/>
    <w:basedOn w:val="1"/>
    <w:link w:val="46"/>
    <w:qFormat/>
    <w:uiPriority w:val="0"/>
    <w:pPr>
      <w:spacing w:line="360" w:lineRule="auto"/>
    </w:pPr>
  </w:style>
  <w:style w:type="paragraph" w:styleId="13">
    <w:name w:val="Body Text Indent"/>
    <w:basedOn w:val="1"/>
    <w:link w:val="63"/>
    <w:qFormat/>
    <w:uiPriority w:val="0"/>
    <w:pPr>
      <w:ind w:firstLine="444"/>
    </w:pPr>
    <w:rPr>
      <w:b/>
    </w:rPr>
  </w:style>
  <w:style w:type="paragraph" w:styleId="14">
    <w:name w:val="toc 3"/>
    <w:basedOn w:val="1"/>
    <w:next w:val="1"/>
    <w:unhideWhenUsed/>
    <w:uiPriority w:val="39"/>
    <w:pPr>
      <w:ind w:left="840" w:leftChars="400"/>
    </w:pPr>
  </w:style>
  <w:style w:type="paragraph" w:styleId="15">
    <w:name w:val="Plain Text"/>
    <w:basedOn w:val="1"/>
    <w:link w:val="47"/>
    <w:qFormat/>
    <w:uiPriority w:val="0"/>
    <w:rPr>
      <w:rFonts w:ascii="宋体" w:hAnsi="Courier New"/>
      <w:sz w:val="21"/>
    </w:rPr>
  </w:style>
  <w:style w:type="paragraph" w:styleId="16">
    <w:name w:val="Date"/>
    <w:basedOn w:val="1"/>
    <w:next w:val="1"/>
    <w:qFormat/>
    <w:uiPriority w:val="0"/>
  </w:style>
  <w:style w:type="paragraph" w:styleId="17">
    <w:name w:val="Body Text Indent 2"/>
    <w:basedOn w:val="1"/>
    <w:qFormat/>
    <w:uiPriority w:val="0"/>
    <w:pPr>
      <w:spacing w:line="360" w:lineRule="auto"/>
      <w:ind w:firstLine="420" w:firstLineChars="175"/>
    </w:pPr>
    <w:rPr>
      <w:rFonts w:ascii="宋体" w:hAnsi="宋体"/>
      <w:b/>
      <w:bCs/>
    </w:rPr>
  </w:style>
  <w:style w:type="paragraph" w:styleId="18">
    <w:name w:val="Balloon Text"/>
    <w:basedOn w:val="1"/>
    <w:link w:val="56"/>
    <w:qFormat/>
    <w:uiPriority w:val="0"/>
    <w:rPr>
      <w:sz w:val="18"/>
      <w:szCs w:val="18"/>
    </w:rPr>
  </w:style>
  <w:style w:type="paragraph" w:styleId="19">
    <w:name w:val="footer"/>
    <w:basedOn w:val="1"/>
    <w:link w:val="59"/>
    <w:qFormat/>
    <w:uiPriority w:val="99"/>
    <w:pPr>
      <w:tabs>
        <w:tab w:val="center" w:pos="4153"/>
        <w:tab w:val="right" w:pos="8306"/>
      </w:tabs>
      <w:jc w:val="left"/>
    </w:pPr>
    <w:rPr>
      <w:sz w:val="18"/>
    </w:rPr>
  </w:style>
  <w:style w:type="paragraph" w:styleId="20">
    <w:name w:val="header"/>
    <w:basedOn w:val="1"/>
    <w:link w:val="48"/>
    <w:qFormat/>
    <w:uiPriority w:val="99"/>
    <w:pPr>
      <w:pBdr>
        <w:bottom w:val="single" w:color="auto" w:sz="6" w:space="1"/>
      </w:pBdr>
      <w:tabs>
        <w:tab w:val="center" w:pos="4153"/>
        <w:tab w:val="right" w:pos="8306"/>
      </w:tabs>
      <w:jc w:val="center"/>
    </w:pPr>
    <w:rPr>
      <w:sz w:val="18"/>
    </w:rPr>
  </w:style>
  <w:style w:type="paragraph" w:styleId="21">
    <w:name w:val="toc 1"/>
    <w:basedOn w:val="1"/>
    <w:next w:val="1"/>
    <w:qFormat/>
    <w:uiPriority w:val="39"/>
  </w:style>
  <w:style w:type="paragraph" w:styleId="22">
    <w:name w:val="Body Text Indent 3"/>
    <w:basedOn w:val="1"/>
    <w:qFormat/>
    <w:uiPriority w:val="0"/>
    <w:pPr>
      <w:spacing w:afterLines="50"/>
      <w:ind w:firstLine="420"/>
    </w:pPr>
    <w:rPr>
      <w:szCs w:val="21"/>
    </w:rPr>
  </w:style>
  <w:style w:type="paragraph" w:styleId="23">
    <w:name w:val="toc 2"/>
    <w:basedOn w:val="1"/>
    <w:next w:val="1"/>
    <w:qFormat/>
    <w:uiPriority w:val="39"/>
    <w:pPr>
      <w:ind w:left="420" w:leftChars="200"/>
    </w:p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5">
    <w:name w:val="Title"/>
    <w:basedOn w:val="2"/>
    <w:next w:val="1"/>
    <w:link w:val="57"/>
    <w:qFormat/>
    <w:uiPriority w:val="0"/>
    <w:pPr>
      <w:spacing w:beforeLines="50" w:after="0" w:line="360" w:lineRule="auto"/>
      <w:ind w:firstLine="0" w:firstLineChars="0"/>
      <w:jc w:val="center"/>
    </w:pPr>
    <w:rPr>
      <w:rFonts w:ascii="Cambria" w:hAnsi="Cambria" w:eastAsia="黑体"/>
      <w:b w:val="0"/>
      <w:bCs w:val="0"/>
      <w:sz w:val="36"/>
      <w:szCs w:val="32"/>
    </w:rPr>
  </w:style>
  <w:style w:type="paragraph" w:styleId="26">
    <w:name w:val="annotation subject"/>
    <w:basedOn w:val="10"/>
    <w:next w:val="10"/>
    <w:link w:val="51"/>
    <w:qFormat/>
    <w:uiPriority w:val="0"/>
    <w:rPr>
      <w:b/>
      <w:bCs/>
    </w:rPr>
  </w:style>
  <w:style w:type="paragraph" w:styleId="27">
    <w:name w:val="Body Text First Indent"/>
    <w:basedOn w:val="12"/>
    <w:link w:val="55"/>
    <w:unhideWhenUsed/>
    <w:qFormat/>
    <w:uiPriority w:val="99"/>
    <w:pPr>
      <w:spacing w:after="120" w:line="440" w:lineRule="exact"/>
      <w:ind w:firstLine="420" w:firstLineChars="100"/>
    </w:pPr>
  </w:style>
  <w:style w:type="paragraph" w:styleId="28">
    <w:name w:val="Body Text First Indent 2"/>
    <w:basedOn w:val="13"/>
    <w:link w:val="99"/>
    <w:semiHidden/>
    <w:unhideWhenUsed/>
    <w:qFormat/>
    <w:uiPriority w:val="99"/>
    <w:pPr>
      <w:spacing w:after="120"/>
      <w:ind w:left="420" w:leftChars="200" w:firstLine="420"/>
    </w:pPr>
    <w:rPr>
      <w:b w:val="0"/>
    </w:r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qFormat/>
    <w:uiPriority w:val="22"/>
    <w:rPr>
      <w:b/>
      <w:bCs/>
    </w:rPr>
  </w:style>
  <w:style w:type="character" w:styleId="33">
    <w:name w:val="page number"/>
    <w:basedOn w:val="31"/>
    <w:qFormat/>
    <w:uiPriority w:val="0"/>
  </w:style>
  <w:style w:type="character" w:styleId="34">
    <w:name w:val="FollowedHyperlink"/>
    <w:qFormat/>
    <w:uiPriority w:val="0"/>
    <w:rPr>
      <w:color w:val="800080"/>
      <w:u w:val="single"/>
    </w:rPr>
  </w:style>
  <w:style w:type="character" w:styleId="35">
    <w:name w:val="Hyperlink"/>
    <w:qFormat/>
    <w:uiPriority w:val="99"/>
    <w:rPr>
      <w:color w:val="0000FF"/>
      <w:u w:val="single"/>
    </w:rPr>
  </w:style>
  <w:style w:type="character" w:styleId="36">
    <w:name w:val="annotation reference"/>
    <w:qFormat/>
    <w:uiPriority w:val="0"/>
    <w:rPr>
      <w:sz w:val="21"/>
      <w:szCs w:val="21"/>
    </w:rPr>
  </w:style>
  <w:style w:type="character" w:customStyle="1" w:styleId="37">
    <w:name w:val="标题 1 Char1"/>
    <w:link w:val="2"/>
    <w:qFormat/>
    <w:uiPriority w:val="0"/>
    <w:rPr>
      <w:b/>
      <w:bCs/>
      <w:kern w:val="44"/>
      <w:sz w:val="44"/>
      <w:szCs w:val="44"/>
    </w:rPr>
  </w:style>
  <w:style w:type="character" w:customStyle="1" w:styleId="38">
    <w:name w:val="标题 2 Char1"/>
    <w:link w:val="3"/>
    <w:qFormat/>
    <w:uiPriority w:val="0"/>
    <w:rPr>
      <w:rFonts w:ascii="Arial" w:hAnsi="Arial" w:eastAsia="黑体"/>
      <w:bCs/>
      <w:sz w:val="28"/>
      <w:szCs w:val="32"/>
    </w:rPr>
  </w:style>
  <w:style w:type="character" w:customStyle="1" w:styleId="39">
    <w:name w:val="标题 3 Char"/>
    <w:link w:val="4"/>
    <w:qFormat/>
    <w:uiPriority w:val="0"/>
    <w:rPr>
      <w:b/>
      <w:bCs/>
      <w:kern w:val="2"/>
      <w:sz w:val="21"/>
      <w:szCs w:val="32"/>
    </w:rPr>
  </w:style>
  <w:style w:type="character" w:customStyle="1" w:styleId="40">
    <w:name w:val="标题 4 Char1"/>
    <w:link w:val="5"/>
    <w:qFormat/>
    <w:uiPriority w:val="0"/>
    <w:rPr>
      <w:rFonts w:ascii="Cambria" w:hAnsi="Cambria" w:eastAsia="黑体"/>
      <w:bCs/>
      <w:kern w:val="2"/>
      <w:sz w:val="24"/>
      <w:szCs w:val="28"/>
    </w:rPr>
  </w:style>
  <w:style w:type="character" w:customStyle="1" w:styleId="41">
    <w:name w:val="标题 8 Char"/>
    <w:link w:val="6"/>
    <w:qFormat/>
    <w:uiPriority w:val="0"/>
    <w:rPr>
      <w:rFonts w:ascii="Cambria" w:hAnsi="Cambria" w:eastAsia="宋体" w:cs="Times New Roman"/>
      <w:kern w:val="2"/>
      <w:sz w:val="24"/>
      <w:szCs w:val="24"/>
    </w:rPr>
  </w:style>
  <w:style w:type="character" w:customStyle="1" w:styleId="42">
    <w:name w:val="正文文本 3 Char1"/>
    <w:semiHidden/>
    <w:qFormat/>
    <w:uiPriority w:val="99"/>
    <w:rPr>
      <w:kern w:val="2"/>
      <w:sz w:val="16"/>
      <w:szCs w:val="16"/>
    </w:rPr>
  </w:style>
  <w:style w:type="character" w:customStyle="1" w:styleId="43">
    <w:name w:val="无间隔 Char1"/>
    <w:qFormat/>
    <w:uiPriority w:val="1"/>
    <w:rPr>
      <w:rFonts w:ascii="Calibri" w:hAnsi="Calibri" w:eastAsia="宋体"/>
      <w:kern w:val="2"/>
      <w:sz w:val="21"/>
      <w:szCs w:val="22"/>
      <w:lang w:bidi="ar-SA"/>
    </w:rPr>
  </w:style>
  <w:style w:type="character" w:customStyle="1" w:styleId="44">
    <w:name w:val="无间隔 字符"/>
    <w:qFormat/>
    <w:uiPriority w:val="1"/>
    <w:rPr>
      <w:rFonts w:ascii="Calibri" w:hAnsi="Calibri"/>
      <w:sz w:val="22"/>
      <w:szCs w:val="22"/>
      <w:lang w:val="en-US" w:eastAsia="zh-CN" w:bidi="ar-SA"/>
    </w:rPr>
  </w:style>
  <w:style w:type="character" w:customStyle="1" w:styleId="45">
    <w:name w:val="正文文本 3 Char"/>
    <w:link w:val="11"/>
    <w:qFormat/>
    <w:uiPriority w:val="0"/>
    <w:rPr>
      <w:sz w:val="16"/>
      <w:szCs w:val="16"/>
    </w:rPr>
  </w:style>
  <w:style w:type="character" w:customStyle="1" w:styleId="46">
    <w:name w:val="正文文本 Char"/>
    <w:link w:val="12"/>
    <w:qFormat/>
    <w:uiPriority w:val="0"/>
    <w:rPr>
      <w:kern w:val="2"/>
      <w:sz w:val="24"/>
    </w:rPr>
  </w:style>
  <w:style w:type="character" w:customStyle="1" w:styleId="47">
    <w:name w:val="纯文本 Char"/>
    <w:link w:val="15"/>
    <w:qFormat/>
    <w:uiPriority w:val="0"/>
    <w:rPr>
      <w:rFonts w:ascii="宋体" w:hAnsi="Courier New"/>
      <w:kern w:val="2"/>
      <w:sz w:val="21"/>
    </w:rPr>
  </w:style>
  <w:style w:type="character" w:customStyle="1" w:styleId="48">
    <w:name w:val="页眉 Char"/>
    <w:link w:val="20"/>
    <w:qFormat/>
    <w:uiPriority w:val="99"/>
    <w:rPr>
      <w:kern w:val="2"/>
      <w:sz w:val="18"/>
    </w:rPr>
  </w:style>
  <w:style w:type="character" w:customStyle="1" w:styleId="49">
    <w:name w:val="无间隔 Char"/>
    <w:link w:val="50"/>
    <w:qFormat/>
    <w:uiPriority w:val="1"/>
    <w:rPr>
      <w:rFonts w:ascii="Calibri" w:hAnsi="Calibri"/>
      <w:sz w:val="22"/>
      <w:szCs w:val="22"/>
      <w:lang w:val="en-US" w:eastAsia="zh-CN" w:bidi="ar-SA"/>
    </w:rPr>
  </w:style>
  <w:style w:type="paragraph" w:styleId="50">
    <w:name w:val="No Spacing"/>
    <w:link w:val="49"/>
    <w:qFormat/>
    <w:uiPriority w:val="1"/>
    <w:rPr>
      <w:rFonts w:ascii="Calibri" w:hAnsi="Calibri" w:eastAsia="宋体" w:cs="Times New Roman"/>
      <w:sz w:val="22"/>
      <w:szCs w:val="22"/>
      <w:lang w:val="en-US" w:eastAsia="zh-CN" w:bidi="ar-SA"/>
    </w:rPr>
  </w:style>
  <w:style w:type="character" w:customStyle="1" w:styleId="51">
    <w:name w:val="批注主题 Char"/>
    <w:link w:val="26"/>
    <w:qFormat/>
    <w:uiPriority w:val="0"/>
    <w:rPr>
      <w:b/>
      <w:bCs/>
      <w:kern w:val="2"/>
      <w:sz w:val="21"/>
    </w:rPr>
  </w:style>
  <w:style w:type="character" w:customStyle="1" w:styleId="52">
    <w:name w:val="批注文字 Char"/>
    <w:link w:val="10"/>
    <w:qFormat/>
    <w:uiPriority w:val="99"/>
    <w:rPr>
      <w:kern w:val="2"/>
      <w:sz w:val="21"/>
    </w:rPr>
  </w:style>
  <w:style w:type="character" w:customStyle="1" w:styleId="53">
    <w:name w:val="标题 4 Char"/>
    <w:qFormat/>
    <w:uiPriority w:val="0"/>
    <w:rPr>
      <w:rFonts w:ascii="Cambria" w:hAnsi="Cambria" w:eastAsia="黑体"/>
      <w:bCs/>
      <w:kern w:val="2"/>
      <w:sz w:val="24"/>
      <w:szCs w:val="28"/>
    </w:rPr>
  </w:style>
  <w:style w:type="character" w:customStyle="1" w:styleId="54">
    <w:name w:val="unnamed11"/>
    <w:qFormat/>
    <w:uiPriority w:val="0"/>
    <w:rPr>
      <w:u w:val="none"/>
    </w:rPr>
  </w:style>
  <w:style w:type="character" w:customStyle="1" w:styleId="55">
    <w:name w:val="正文首行缩进 Char"/>
    <w:basedOn w:val="46"/>
    <w:link w:val="27"/>
    <w:semiHidden/>
    <w:qFormat/>
    <w:uiPriority w:val="99"/>
  </w:style>
  <w:style w:type="character" w:customStyle="1" w:styleId="56">
    <w:name w:val="批注框文本 Char"/>
    <w:link w:val="18"/>
    <w:qFormat/>
    <w:uiPriority w:val="0"/>
    <w:rPr>
      <w:kern w:val="2"/>
      <w:sz w:val="18"/>
      <w:szCs w:val="18"/>
    </w:rPr>
  </w:style>
  <w:style w:type="character" w:customStyle="1" w:styleId="57">
    <w:name w:val="标题 Char"/>
    <w:link w:val="25"/>
    <w:qFormat/>
    <w:uiPriority w:val="0"/>
    <w:rPr>
      <w:rFonts w:ascii="Cambria" w:hAnsi="Cambria" w:eastAsia="黑体"/>
      <w:kern w:val="44"/>
      <w:sz w:val="36"/>
      <w:szCs w:val="32"/>
    </w:rPr>
  </w:style>
  <w:style w:type="character" w:customStyle="1" w:styleId="58">
    <w:name w:val="专用功能1"/>
    <w:qFormat/>
    <w:uiPriority w:val="0"/>
    <w:rPr>
      <w:color w:val="666666"/>
      <w:sz w:val="20"/>
    </w:rPr>
  </w:style>
  <w:style w:type="character" w:customStyle="1" w:styleId="59">
    <w:name w:val="页脚 Char"/>
    <w:link w:val="19"/>
    <w:qFormat/>
    <w:uiPriority w:val="99"/>
    <w:rPr>
      <w:kern w:val="2"/>
      <w:sz w:val="18"/>
    </w:rPr>
  </w:style>
  <w:style w:type="character" w:customStyle="1" w:styleId="60">
    <w:name w:val="标题 1 Char"/>
    <w:qFormat/>
    <w:uiPriority w:val="0"/>
    <w:rPr>
      <w:b/>
      <w:bCs/>
      <w:kern w:val="44"/>
      <w:sz w:val="44"/>
      <w:szCs w:val="44"/>
    </w:rPr>
  </w:style>
  <w:style w:type="character" w:customStyle="1" w:styleId="61">
    <w:name w:val="标题 2 Char"/>
    <w:qFormat/>
    <w:uiPriority w:val="0"/>
    <w:rPr>
      <w:rFonts w:ascii="Arial" w:hAnsi="Arial" w:eastAsia="黑体"/>
      <w:b/>
      <w:bCs/>
      <w:sz w:val="32"/>
      <w:szCs w:val="32"/>
    </w:rPr>
  </w:style>
  <w:style w:type="character" w:customStyle="1" w:styleId="62">
    <w:name w:val="正文缩进 Char"/>
    <w:link w:val="7"/>
    <w:qFormat/>
    <w:uiPriority w:val="0"/>
    <w:rPr>
      <w:kern w:val="2"/>
      <w:sz w:val="24"/>
    </w:rPr>
  </w:style>
  <w:style w:type="character" w:customStyle="1" w:styleId="63">
    <w:name w:val="正文文本缩进 Char"/>
    <w:basedOn w:val="31"/>
    <w:link w:val="13"/>
    <w:qFormat/>
    <w:uiPriority w:val="0"/>
    <w:rPr>
      <w:b/>
      <w:kern w:val="2"/>
      <w:sz w:val="24"/>
    </w:rPr>
  </w:style>
  <w:style w:type="paragraph" w:customStyle="1" w:styleId="64">
    <w:name w:val="表格文字"/>
    <w:basedOn w:val="12"/>
    <w:qFormat/>
    <w:uiPriority w:val="0"/>
    <w:pPr>
      <w:spacing w:before="20" w:after="20" w:line="360" w:lineRule="atLeast"/>
      <w:textAlignment w:val="baseline"/>
    </w:pPr>
    <w:rPr>
      <w:rFonts w:ascii="Century Gothic" w:hAnsi="Century Gothic"/>
      <w:sz w:val="20"/>
    </w:rPr>
  </w:style>
  <w:style w:type="paragraph" w:customStyle="1" w:styleId="65">
    <w:name w:val="1"/>
    <w:basedOn w:val="1"/>
    <w:qFormat/>
    <w:uiPriority w:val="0"/>
    <w:pPr>
      <w:spacing w:afterLines="50" w:line="360" w:lineRule="auto"/>
      <w:ind w:firstLine="3243" w:firstLineChars="1080"/>
    </w:pPr>
    <w:rPr>
      <w:rFonts w:ascii="宋体" w:hAnsi="宋体"/>
      <w:b/>
      <w:sz w:val="30"/>
      <w:szCs w:val="21"/>
    </w:rPr>
  </w:style>
  <w:style w:type="paragraph" w:customStyle="1" w:styleId="66">
    <w:name w:val="Char"/>
    <w:basedOn w:val="1"/>
    <w:qFormat/>
    <w:uiPriority w:val="0"/>
    <w:pPr>
      <w:spacing w:line="360" w:lineRule="auto"/>
    </w:pPr>
    <w:rPr>
      <w:kern w:val="0"/>
    </w:rPr>
  </w:style>
  <w:style w:type="paragraph" w:customStyle="1" w:styleId="67">
    <w:name w:val="样式2"/>
    <w:basedOn w:val="1"/>
    <w:qFormat/>
    <w:uiPriority w:val="0"/>
    <w:pPr>
      <w:spacing w:line="410" w:lineRule="atLeast"/>
      <w:jc w:val="left"/>
      <w:textAlignment w:val="baseline"/>
    </w:pPr>
    <w:rPr>
      <w:kern w:val="0"/>
    </w:rPr>
  </w:style>
  <w:style w:type="paragraph" w:customStyle="1" w:styleId="6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69">
    <w:name w:val="55"/>
    <w:basedOn w:val="1"/>
    <w:qFormat/>
    <w:uiPriority w:val="0"/>
    <w:pPr>
      <w:spacing w:line="500" w:lineRule="exact"/>
      <w:ind w:firstLine="629"/>
    </w:pPr>
    <w:rPr>
      <w:rFonts w:ascii="仿宋_GB2312" w:eastAsia="仿宋_GB2312"/>
      <w:sz w:val="28"/>
      <w:szCs w:val="28"/>
    </w:rPr>
  </w:style>
  <w:style w:type="paragraph" w:customStyle="1" w:styleId="70">
    <w:name w:val="缺省文本"/>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71">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2">
    <w:name w:val="样式 55 + (西文) Times New Roman (中文) 宋体 五号 加粗 行距: 1.5 倍行距"/>
    <w:basedOn w:val="69"/>
    <w:qFormat/>
    <w:uiPriority w:val="0"/>
    <w:pPr>
      <w:spacing w:line="360" w:lineRule="auto"/>
      <w:ind w:firstLine="0"/>
    </w:pPr>
    <w:rPr>
      <w:rFonts w:ascii="Times New Roman" w:eastAsia="黑体" w:cs="宋体"/>
      <w:bCs/>
      <w:szCs w:val="20"/>
    </w:rPr>
  </w:style>
  <w:style w:type="paragraph" w:customStyle="1" w:styleId="73">
    <w:name w:val="目录 21"/>
    <w:basedOn w:val="1"/>
    <w:next w:val="1"/>
    <w:qFormat/>
    <w:uiPriority w:val="39"/>
    <w:pPr>
      <w:ind w:left="210"/>
      <w:jc w:val="left"/>
    </w:pPr>
    <w:rPr>
      <w:rFonts w:ascii="Calibri" w:hAnsi="Calibri" w:cs="Calibri"/>
      <w:smallCaps/>
      <w:sz w:val="20"/>
    </w:rPr>
  </w:style>
  <w:style w:type="paragraph" w:customStyle="1" w:styleId="74">
    <w:name w:val="金正文1"/>
    <w:basedOn w:val="1"/>
    <w:qFormat/>
    <w:uiPriority w:val="0"/>
    <w:pPr>
      <w:spacing w:line="360" w:lineRule="auto"/>
      <w:jc w:val="left"/>
    </w:pPr>
  </w:style>
  <w:style w:type="paragraph" w:customStyle="1" w:styleId="75">
    <w:name w:val="p0"/>
    <w:basedOn w:val="1"/>
    <w:qFormat/>
    <w:uiPriority w:val="0"/>
    <w:pPr>
      <w:widowControl/>
    </w:pPr>
    <w:rPr>
      <w:kern w:val="0"/>
    </w:rPr>
  </w:style>
  <w:style w:type="paragraph" w:customStyle="1" w:styleId="76">
    <w:name w:val="表格"/>
    <w:basedOn w:val="1"/>
    <w:qFormat/>
    <w:uiPriority w:val="0"/>
    <w:pPr>
      <w:spacing w:before="60" w:after="60"/>
      <w:jc w:val="center"/>
      <w:textAlignment w:val="baseline"/>
    </w:pPr>
    <w:rPr>
      <w:rFonts w:ascii="宋体"/>
      <w:kern w:val="0"/>
    </w:rPr>
  </w:style>
  <w:style w:type="paragraph" w:customStyle="1" w:styleId="77">
    <w:name w:val="目录 81"/>
    <w:basedOn w:val="1"/>
    <w:next w:val="1"/>
    <w:qFormat/>
    <w:uiPriority w:val="0"/>
    <w:pPr>
      <w:ind w:left="1470"/>
      <w:jc w:val="left"/>
    </w:pPr>
    <w:rPr>
      <w:rFonts w:ascii="Calibri" w:hAnsi="Calibri" w:cs="Calibri"/>
      <w:sz w:val="18"/>
      <w:szCs w:val="18"/>
    </w:rPr>
  </w:style>
  <w:style w:type="paragraph" w:customStyle="1" w:styleId="78">
    <w:name w:val="列出段落11"/>
    <w:basedOn w:val="1"/>
    <w:qFormat/>
    <w:uiPriority w:val="34"/>
    <w:pPr>
      <w:ind w:firstLine="420"/>
    </w:pPr>
    <w:rPr>
      <w:rFonts w:ascii="Calibri" w:hAnsi="Calibri"/>
      <w:szCs w:val="22"/>
    </w:rPr>
  </w:style>
  <w:style w:type="paragraph" w:customStyle="1" w:styleId="79">
    <w:name w:val="目录 31"/>
    <w:basedOn w:val="1"/>
    <w:next w:val="1"/>
    <w:qFormat/>
    <w:uiPriority w:val="39"/>
    <w:pPr>
      <w:ind w:left="420"/>
      <w:jc w:val="left"/>
    </w:pPr>
    <w:rPr>
      <w:rFonts w:ascii="Calibri" w:hAnsi="Calibri" w:cs="Calibri"/>
      <w:i/>
      <w:iCs/>
      <w:sz w:val="20"/>
    </w:rPr>
  </w:style>
  <w:style w:type="paragraph" w:customStyle="1" w:styleId="80">
    <w:name w:val="目录 71"/>
    <w:basedOn w:val="1"/>
    <w:next w:val="1"/>
    <w:qFormat/>
    <w:uiPriority w:val="0"/>
    <w:pPr>
      <w:ind w:left="1260"/>
      <w:jc w:val="left"/>
    </w:pPr>
    <w:rPr>
      <w:rFonts w:ascii="Calibri" w:hAnsi="Calibri" w:cs="Calibri"/>
      <w:sz w:val="18"/>
      <w:szCs w:val="18"/>
    </w:rPr>
  </w:style>
  <w:style w:type="paragraph" w:customStyle="1" w:styleId="81">
    <w:name w:val="目录 11"/>
    <w:basedOn w:val="1"/>
    <w:next w:val="1"/>
    <w:qFormat/>
    <w:uiPriority w:val="39"/>
    <w:pPr>
      <w:spacing w:before="120" w:after="120"/>
      <w:jc w:val="left"/>
    </w:pPr>
    <w:rPr>
      <w:rFonts w:ascii="Calibri" w:hAnsi="Calibri" w:cs="Calibri"/>
      <w:b/>
      <w:bCs/>
      <w:caps/>
      <w:sz w:val="20"/>
    </w:rPr>
  </w:style>
  <w:style w:type="paragraph" w:customStyle="1" w:styleId="82">
    <w:name w:val="正文文本 31"/>
    <w:basedOn w:val="1"/>
    <w:qFormat/>
    <w:uiPriority w:val="0"/>
    <w:pPr>
      <w:spacing w:line="360" w:lineRule="auto"/>
      <w:jc w:val="center"/>
      <w:textAlignment w:val="baseline"/>
    </w:pPr>
    <w:rPr>
      <w:rFonts w:ascii="宋体"/>
      <w:b/>
      <w:color w:val="FF0000"/>
      <w:kern w:val="0"/>
      <w:u w:val="single"/>
    </w:rPr>
  </w:style>
  <w:style w:type="paragraph" w:customStyle="1" w:styleId="83">
    <w:name w:val="默认段落字体 Para Char Char Char Char"/>
    <w:basedOn w:val="1"/>
    <w:qFormat/>
    <w:uiPriority w:val="0"/>
  </w:style>
  <w:style w:type="paragraph" w:customStyle="1" w:styleId="84">
    <w:name w:val="修订1"/>
    <w:qFormat/>
    <w:uiPriority w:val="0"/>
    <w:rPr>
      <w:rFonts w:ascii="Times New Roman" w:hAnsi="Times New Roman" w:eastAsia="宋体" w:cs="Times New Roman"/>
      <w:kern w:val="2"/>
      <w:sz w:val="21"/>
      <w:lang w:val="en-US" w:eastAsia="zh-CN" w:bidi="ar-SA"/>
    </w:rPr>
  </w:style>
  <w:style w:type="paragraph" w:customStyle="1" w:styleId="85">
    <w:name w:val="正文1"/>
    <w:basedOn w:val="1"/>
    <w:qFormat/>
    <w:uiPriority w:val="0"/>
    <w:pPr>
      <w:spacing w:line="360" w:lineRule="atLeast"/>
      <w:jc w:val="left"/>
      <w:textAlignment w:val="baseline"/>
    </w:pPr>
    <w:rPr>
      <w:rFonts w:ascii="宋体"/>
      <w:b/>
      <w:kern w:val="0"/>
    </w:rPr>
  </w:style>
  <w:style w:type="paragraph" w:customStyle="1" w:styleId="86">
    <w:name w:val="目录 51"/>
    <w:basedOn w:val="1"/>
    <w:next w:val="1"/>
    <w:qFormat/>
    <w:uiPriority w:val="0"/>
    <w:pPr>
      <w:ind w:left="840"/>
      <w:jc w:val="left"/>
    </w:pPr>
    <w:rPr>
      <w:rFonts w:ascii="Calibri" w:hAnsi="Calibri" w:cs="Calibri"/>
      <w:sz w:val="18"/>
      <w:szCs w:val="18"/>
    </w:rPr>
  </w:style>
  <w:style w:type="paragraph" w:customStyle="1" w:styleId="87">
    <w:name w:val="附件"/>
    <w:basedOn w:val="1"/>
    <w:qFormat/>
    <w:uiPriority w:val="0"/>
    <w:pPr>
      <w:spacing w:before="120" w:after="60"/>
      <w:jc w:val="center"/>
      <w:textAlignment w:val="center"/>
    </w:pPr>
    <w:rPr>
      <w:rFonts w:ascii="黑体" w:eastAsia="黑体"/>
      <w:b/>
      <w:kern w:val="0"/>
      <w:sz w:val="32"/>
      <w:szCs w:val="32"/>
    </w:rPr>
  </w:style>
  <w:style w:type="paragraph" w:customStyle="1" w:styleId="88">
    <w:name w:val="目录 91"/>
    <w:basedOn w:val="1"/>
    <w:next w:val="1"/>
    <w:qFormat/>
    <w:uiPriority w:val="0"/>
    <w:pPr>
      <w:ind w:left="1680"/>
      <w:jc w:val="left"/>
    </w:pPr>
    <w:rPr>
      <w:rFonts w:ascii="Calibri" w:hAnsi="Calibri" w:cs="Calibri"/>
      <w:sz w:val="18"/>
      <w:szCs w:val="18"/>
    </w:rPr>
  </w:style>
  <w:style w:type="paragraph" w:customStyle="1" w:styleId="89">
    <w:name w:val="标题2（新）"/>
    <w:basedOn w:val="3"/>
    <w:qFormat/>
    <w:uiPriority w:val="0"/>
    <w:pPr>
      <w:widowControl/>
      <w:spacing w:beforeLines="0" w:line="440" w:lineRule="exact"/>
    </w:pPr>
    <w:rPr>
      <w:rFonts w:ascii="宋体" w:eastAsia="宋体" w:cs="宋体"/>
      <w:szCs w:val="28"/>
    </w:rPr>
  </w:style>
  <w:style w:type="paragraph" w:customStyle="1" w:styleId="90">
    <w:name w:val="Normal_43_0"/>
    <w:qFormat/>
    <w:uiPriority w:val="0"/>
    <w:pPr>
      <w:spacing w:before="120" w:after="240"/>
      <w:jc w:val="both"/>
    </w:pPr>
    <w:rPr>
      <w:rFonts w:ascii="Calibri" w:hAnsi="Calibri" w:eastAsia="Calibri" w:cs="Times New Roman"/>
      <w:sz w:val="22"/>
      <w:szCs w:val="22"/>
      <w:lang w:val="en-US" w:eastAsia="en-US" w:bidi="ar-SA"/>
    </w:rPr>
  </w:style>
  <w:style w:type="paragraph" w:customStyle="1" w:styleId="91">
    <w:name w:val="目录 41"/>
    <w:basedOn w:val="1"/>
    <w:next w:val="1"/>
    <w:qFormat/>
    <w:uiPriority w:val="0"/>
    <w:pPr>
      <w:ind w:left="630"/>
      <w:jc w:val="left"/>
    </w:pPr>
    <w:rPr>
      <w:rFonts w:ascii="Calibri" w:hAnsi="Calibri" w:cs="Calibri"/>
      <w:sz w:val="18"/>
      <w:szCs w:val="18"/>
    </w:rPr>
  </w:style>
  <w:style w:type="paragraph" w:customStyle="1" w:styleId="92">
    <w:name w:val="列出段落1"/>
    <w:basedOn w:val="1"/>
    <w:qFormat/>
    <w:uiPriority w:val="34"/>
    <w:pPr>
      <w:ind w:firstLine="420"/>
    </w:pPr>
  </w:style>
  <w:style w:type="paragraph" w:customStyle="1" w:styleId="93">
    <w:name w:val="目录 61"/>
    <w:basedOn w:val="1"/>
    <w:next w:val="1"/>
    <w:qFormat/>
    <w:uiPriority w:val="0"/>
    <w:pPr>
      <w:ind w:left="1050"/>
      <w:jc w:val="left"/>
    </w:pPr>
    <w:rPr>
      <w:rFonts w:ascii="Calibri" w:hAnsi="Calibri" w:cs="Calibri"/>
      <w:sz w:val="18"/>
      <w:szCs w:val="18"/>
    </w:rPr>
  </w:style>
  <w:style w:type="paragraph" w:styleId="94">
    <w:name w:val="List Paragraph"/>
    <w:basedOn w:val="1"/>
    <w:qFormat/>
    <w:uiPriority w:val="34"/>
    <w:pPr>
      <w:adjustRightInd/>
      <w:snapToGrid/>
      <w:spacing w:line="240" w:lineRule="auto"/>
      <w:ind w:firstLine="420"/>
    </w:pPr>
    <w:rPr>
      <w:sz w:val="21"/>
      <w:szCs w:val="24"/>
    </w:rPr>
  </w:style>
  <w:style w:type="paragraph" w:customStyle="1" w:styleId="95">
    <w:name w:val="表格侧编号"/>
    <w:next w:val="1"/>
    <w:qFormat/>
    <w:uiPriority w:val="0"/>
    <w:pPr>
      <w:widowControl w:val="0"/>
      <w:jc w:val="center"/>
    </w:pPr>
    <w:rPr>
      <w:rFonts w:ascii="宋体" w:hAnsi="宋体" w:eastAsia="宋体" w:cs="Times New Roman"/>
      <w:kern w:val="2"/>
      <w:sz w:val="21"/>
      <w:lang w:val="en-US" w:eastAsia="zh-CN" w:bidi="ar-SA"/>
    </w:rPr>
  </w:style>
  <w:style w:type="paragraph" w:customStyle="1" w:styleId="96">
    <w:name w:val="Char Char Char"/>
    <w:basedOn w:val="1"/>
    <w:qFormat/>
    <w:uiPriority w:val="0"/>
    <w:rPr>
      <w:rFonts w:ascii="Tahoma" w:hAnsi="Tahoma"/>
    </w:rPr>
  </w:style>
  <w:style w:type="paragraph" w:customStyle="1" w:styleId="97">
    <w:name w:val="目录1"/>
    <w:basedOn w:val="1"/>
    <w:qFormat/>
    <w:uiPriority w:val="0"/>
    <w:rPr>
      <w:rFonts w:ascii="黑体" w:eastAsia="黑体"/>
      <w:sz w:val="52"/>
      <w:szCs w:val="52"/>
    </w:rPr>
  </w:style>
  <w:style w:type="paragraph" w:customStyle="1" w:styleId="98">
    <w:name w:val="TOC 标题1"/>
    <w:basedOn w:val="2"/>
    <w:next w:val="1"/>
    <w:qFormat/>
    <w:uiPriority w:val="39"/>
    <w:pPr>
      <w:widowControl/>
      <w:spacing w:before="480" w:afterLines="50" w:line="276" w:lineRule="auto"/>
      <w:jc w:val="left"/>
      <w:outlineLvl w:val="9"/>
    </w:pPr>
    <w:rPr>
      <w:rFonts w:ascii="Cambria" w:hAnsi="Cambria"/>
      <w:color w:val="365F91"/>
      <w:kern w:val="0"/>
      <w:sz w:val="28"/>
      <w:szCs w:val="28"/>
    </w:rPr>
  </w:style>
  <w:style w:type="character" w:customStyle="1" w:styleId="99">
    <w:name w:val="正文首行缩进 2 Char"/>
    <w:basedOn w:val="63"/>
    <w:link w:val="28"/>
    <w:qFormat/>
    <w:uiPriority w:val="0"/>
  </w:style>
  <w:style w:type="paragraph" w:customStyle="1" w:styleId="100">
    <w:name w:val="Plain Text1"/>
    <w:basedOn w:val="1"/>
    <w:qFormat/>
    <w:uiPriority w:val="0"/>
    <w:pPr>
      <w:snapToGrid/>
      <w:spacing w:after="120" w:line="400" w:lineRule="atLeast"/>
      <w:ind w:firstLine="567" w:firstLineChars="0"/>
    </w:pPr>
    <w:rPr>
      <w:rFonts w:ascii="宋体"/>
      <w:kern w:val="0"/>
      <w:sz w:val="28"/>
    </w:rPr>
  </w:style>
  <w:style w:type="paragraph" w:customStyle="1" w:styleId="101">
    <w:name w:val="纯文本1"/>
    <w:basedOn w:val="1"/>
    <w:qFormat/>
    <w:uiPriority w:val="99"/>
    <w:pPr>
      <w:snapToGrid/>
      <w:spacing w:after="120" w:line="400" w:lineRule="atLeast"/>
      <w:ind w:firstLine="567" w:firstLineChars="0"/>
    </w:pPr>
    <w:rPr>
      <w:rFonts w:hint="eastAsia" w:ascii="宋体"/>
      <w:kern w:val="0"/>
      <w:sz w:val="28"/>
    </w:rPr>
  </w:style>
  <w:style w:type="character" w:customStyle="1" w:styleId="102">
    <w:name w:val="纯文本 Char1"/>
    <w:qFormat/>
    <w:uiPriority w:val="0"/>
    <w:rPr>
      <w:rFonts w:ascii="宋体" w:hAnsi="Courier New"/>
      <w:kern w:val="2"/>
      <w:sz w:val="21"/>
      <w:szCs w:val="21"/>
    </w:rPr>
  </w:style>
  <w:style w:type="character" w:customStyle="1" w:styleId="103">
    <w:name w:val="页脚 Char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41</Pages>
  <Words>15660</Words>
  <Characters>5243</Characters>
  <Lines>43</Lines>
  <Paragraphs>41</Paragraphs>
  <TotalTime>360</TotalTime>
  <ScaleCrop>false</ScaleCrop>
  <LinksUpToDate>false</LinksUpToDate>
  <CharactersWithSpaces>20862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2022-04-12T08:50:00Z</dcterms:created>
  <dc:creator>年越</dc:creator>
  <cp:lastModifiedBy>信息员/HENFGS/CHNG</cp:lastModifiedBy>
  <cp:lastPrinted>2022-07-19T06:53:00Z</cp:lastPrinted>
  <dcterms:modified xsi:type="dcterms:W3CDTF">2022-07-19T07:01:15Z</dcterms:modified>
  <dc:title>招标编号：</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40E74CF938694C699B4A4025368D7E46</vt:lpwstr>
  </property>
</Properties>
</file>