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line="360" w:lineRule="auto"/>
        <w:jc w:val="center"/>
        <w:rPr>
          <w:rFonts w:ascii="宋体" w:hAnsi="宋体" w:cs="宋体"/>
          <w:color w:val="000000"/>
          <w:sz w:val="28"/>
          <w:szCs w:val="28"/>
        </w:rPr>
      </w:pPr>
      <w:r>
        <w:rPr>
          <w:rFonts w:ascii="宋体" w:hAnsi="宋体" w:cs="宋体"/>
          <w:color w:val="000000"/>
          <w:sz w:val="28"/>
          <w:szCs w:val="28"/>
        </w:rPr>
        <w:drawing>
          <wp:inline distT="0" distB="0" distL="0" distR="0">
            <wp:extent cx="6029325" cy="821817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6029325" cy="8218170"/>
                    </a:xfrm>
                    <a:prstGeom prst="rect">
                      <a:avLst/>
                    </a:prstGeom>
                    <a:noFill/>
                  </pic:spPr>
                </pic:pic>
              </a:graphicData>
            </a:graphic>
          </wp:inline>
        </w:drawing>
      </w:r>
    </w:p>
    <w:p>
      <w:pPr>
        <w:spacing w:line="360" w:lineRule="auto"/>
        <w:jc w:val="center"/>
        <w:rPr>
          <w:rFonts w:ascii="宋体" w:hAnsi="宋体" w:cs="宋体"/>
          <w:color w:val="000000"/>
          <w:sz w:val="28"/>
          <w:szCs w:val="28"/>
        </w:rPr>
      </w:pPr>
    </w:p>
    <w:p>
      <w:pPr>
        <w:spacing w:line="360" w:lineRule="auto"/>
        <w:jc w:val="center"/>
        <w:rPr>
          <w:rFonts w:ascii="宋体" w:hAnsi="宋体" w:cs="宋体"/>
          <w:color w:val="000000"/>
          <w:sz w:val="28"/>
          <w:szCs w:val="28"/>
        </w:rPr>
      </w:pPr>
    </w:p>
    <w:p>
      <w:pPr>
        <w:spacing w:line="360" w:lineRule="auto"/>
        <w:jc w:val="center"/>
        <w:rPr>
          <w:rFonts w:ascii="宋体" w:hAnsi="宋体" w:cs="宋体"/>
          <w:color w:val="000000"/>
          <w:sz w:val="28"/>
          <w:szCs w:val="28"/>
        </w:rPr>
      </w:pPr>
      <w:r>
        <w:rPr>
          <w:rFonts w:hint="eastAsia" w:ascii="宋体" w:hAnsi="宋体" w:cs="宋体"/>
          <w:color w:val="000000"/>
          <w:sz w:val="28"/>
          <w:szCs w:val="28"/>
        </w:rPr>
        <w:drawing>
          <wp:anchor distT="0" distB="0" distL="114300" distR="114300" simplePos="0" relativeHeight="251660288" behindDoc="0" locked="0" layoutInCell="1" allowOverlap="1">
            <wp:simplePos x="0" y="0"/>
            <wp:positionH relativeFrom="column">
              <wp:posOffset>3649980</wp:posOffset>
            </wp:positionH>
            <wp:positionV relativeFrom="paragraph">
              <wp:posOffset>60960</wp:posOffset>
            </wp:positionV>
            <wp:extent cx="1840230" cy="396875"/>
            <wp:effectExtent l="0" t="0" r="7620" b="3175"/>
            <wp:wrapSquare wrapText="bothSides"/>
            <wp:docPr id="3" name="图片 3" descr="说明: 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说明: 未标题-1副本"/>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840230" cy="396875"/>
                    </a:xfrm>
                    <a:prstGeom prst="rect">
                      <a:avLst/>
                    </a:prstGeom>
                    <a:noFill/>
                    <a:ln>
                      <a:noFill/>
                    </a:ln>
                  </pic:spPr>
                </pic:pic>
              </a:graphicData>
            </a:graphic>
          </wp:anchor>
        </w:drawing>
      </w:r>
    </w:p>
    <w:p>
      <w:pPr>
        <w:jc w:val="center"/>
        <w:rPr>
          <w:rFonts w:ascii="宋体" w:hAnsi="宋体" w:cs="宋体"/>
          <w:color w:val="000000"/>
          <w:sz w:val="28"/>
          <w:szCs w:val="28"/>
        </w:rPr>
      </w:pPr>
    </w:p>
    <w:p>
      <w:pPr>
        <w:rPr>
          <w:rFonts w:ascii="宋体" w:hAnsi="宋体" w:cs="宋体"/>
          <w:color w:val="000000"/>
          <w:sz w:val="28"/>
          <w:szCs w:val="28"/>
        </w:rPr>
      </w:pPr>
    </w:p>
    <w:p>
      <w:pPr>
        <w:jc w:val="center"/>
        <w:rPr>
          <w:rFonts w:ascii="宋体" w:hAnsi="宋体" w:cs="宋体"/>
          <w:b/>
          <w:bCs/>
          <w:kern w:val="0"/>
          <w:sz w:val="40"/>
          <w:szCs w:val="40"/>
          <w:u w:val="single"/>
        </w:rPr>
      </w:pPr>
      <w:r>
        <w:rPr>
          <w:rFonts w:hint="eastAsia" w:ascii="宋体" w:hAnsi="宋体" w:cs="宋体"/>
          <w:color w:val="000000"/>
          <w:sz w:val="36"/>
          <w:szCs w:val="36"/>
          <w:u w:val="single"/>
        </w:rPr>
        <w:t xml:space="preserve"> </w:t>
      </w:r>
      <w:r>
        <w:rPr>
          <w:rFonts w:hint="eastAsia" w:ascii="宋体" w:hAnsi="宋体" w:cs="宋体"/>
          <w:b/>
          <w:bCs/>
          <w:kern w:val="0"/>
          <w:sz w:val="40"/>
          <w:szCs w:val="40"/>
          <w:u w:val="single"/>
        </w:rPr>
        <w:t>北方联合电力有限责任公司纪念建团100周年</w:t>
      </w:r>
    </w:p>
    <w:p>
      <w:pPr>
        <w:jc w:val="center"/>
        <w:rPr>
          <w:rFonts w:ascii="宋体" w:hAnsi="宋体" w:cs="宋体"/>
          <w:b/>
          <w:bCs/>
          <w:color w:val="000000"/>
          <w:sz w:val="40"/>
          <w:szCs w:val="40"/>
        </w:rPr>
      </w:pPr>
      <w:r>
        <w:rPr>
          <w:rFonts w:hint="eastAsia" w:ascii="宋体" w:hAnsi="宋体" w:cs="宋体"/>
          <w:b/>
          <w:bCs/>
          <w:kern w:val="0"/>
          <w:sz w:val="40"/>
          <w:szCs w:val="40"/>
          <w:u w:val="single"/>
        </w:rPr>
        <w:t>专题片制作服务</w:t>
      </w:r>
      <w:r>
        <w:rPr>
          <w:rFonts w:hint="eastAsia" w:ascii="宋体" w:hAnsi="宋体" w:cs="宋体"/>
          <w:b/>
          <w:bCs/>
          <w:color w:val="000000"/>
          <w:sz w:val="40"/>
          <w:szCs w:val="40"/>
          <w:u w:val="single"/>
        </w:rPr>
        <w:t xml:space="preserve"> </w:t>
      </w:r>
      <w:r>
        <w:rPr>
          <w:rFonts w:hint="eastAsia" w:ascii="宋体" w:hAnsi="宋体" w:cs="宋体"/>
          <w:b/>
          <w:bCs/>
          <w:color w:val="000000"/>
          <w:sz w:val="40"/>
          <w:szCs w:val="40"/>
        </w:rPr>
        <w:t>项目</w:t>
      </w:r>
    </w:p>
    <w:p>
      <w:pPr>
        <w:pStyle w:val="2"/>
      </w:pPr>
    </w:p>
    <w:p>
      <w:pPr>
        <w:jc w:val="center"/>
        <w:rPr>
          <w:rFonts w:ascii="黑体" w:hAnsi="黑体" w:eastAsia="黑体"/>
          <w:color w:val="000000"/>
          <w:sz w:val="72"/>
          <w:szCs w:val="72"/>
        </w:rPr>
      </w:pPr>
      <w:r>
        <w:rPr>
          <w:rFonts w:hint="eastAsia" w:ascii="黑体" w:hAnsi="黑体" w:eastAsia="黑体"/>
          <w:kern w:val="0"/>
          <w:sz w:val="72"/>
          <w:szCs w:val="72"/>
        </w:rPr>
        <w:t>电商询价采购</w:t>
      </w:r>
      <w:r>
        <w:rPr>
          <w:rFonts w:hint="eastAsia" w:ascii="黑体" w:hAnsi="黑体" w:eastAsia="黑体"/>
          <w:color w:val="000000"/>
          <w:sz w:val="72"/>
          <w:szCs w:val="72"/>
        </w:rPr>
        <w:t>文件</w:t>
      </w:r>
    </w:p>
    <w:p>
      <w:pPr>
        <w:jc w:val="center"/>
        <w:rPr>
          <w:rFonts w:ascii="宋体" w:hAnsi="宋体" w:cs="宋体"/>
          <w:color w:val="000000"/>
          <w:sz w:val="28"/>
          <w:szCs w:val="28"/>
        </w:rPr>
      </w:pPr>
    </w:p>
    <w:p>
      <w:pPr>
        <w:ind w:firstLine="1546" w:firstLineChars="550"/>
        <w:rPr>
          <w:rFonts w:ascii="宋体" w:hAnsi="宋体" w:cs="宋体"/>
          <w:b/>
          <w:color w:val="000000"/>
          <w:sz w:val="28"/>
          <w:szCs w:val="28"/>
        </w:rPr>
      </w:pPr>
    </w:p>
    <w:p>
      <w:pPr>
        <w:ind w:firstLine="1767" w:firstLineChars="550"/>
        <w:rPr>
          <w:rFonts w:ascii="宋体" w:hAnsi="宋体" w:cs="宋体"/>
          <w:b/>
          <w:color w:val="000000"/>
          <w:sz w:val="32"/>
          <w:szCs w:val="32"/>
        </w:rPr>
      </w:pPr>
      <w:r>
        <w:rPr>
          <w:rFonts w:hint="eastAsia" w:ascii="宋体" w:hAnsi="宋体" w:cs="宋体"/>
          <w:b/>
          <w:color w:val="000000"/>
          <w:sz w:val="32"/>
          <w:szCs w:val="32"/>
        </w:rPr>
        <w:t xml:space="preserve">编制： </w:t>
      </w:r>
    </w:p>
    <w:p>
      <w:pPr>
        <w:ind w:firstLine="1760" w:firstLineChars="550"/>
        <w:rPr>
          <w:rFonts w:ascii="宋体" w:hAnsi="宋体" w:cs="宋体"/>
          <w:color w:val="000000"/>
          <w:sz w:val="32"/>
          <w:szCs w:val="32"/>
        </w:rPr>
      </w:pPr>
    </w:p>
    <w:p>
      <w:pPr>
        <w:ind w:firstLine="1767" w:firstLineChars="550"/>
        <w:rPr>
          <w:rFonts w:ascii="宋体" w:hAnsi="宋体" w:cs="宋体"/>
          <w:b/>
          <w:color w:val="000000"/>
          <w:sz w:val="32"/>
          <w:szCs w:val="32"/>
        </w:rPr>
      </w:pPr>
      <w:r>
        <w:rPr>
          <w:rFonts w:hint="eastAsia" w:ascii="宋体" w:hAnsi="宋体" w:cs="宋体"/>
          <w:b/>
          <w:color w:val="000000"/>
          <w:sz w:val="32"/>
          <w:szCs w:val="32"/>
        </w:rPr>
        <w:t xml:space="preserve">审核： </w:t>
      </w:r>
    </w:p>
    <w:p>
      <w:pPr>
        <w:ind w:firstLine="1767" w:firstLineChars="550"/>
        <w:rPr>
          <w:rFonts w:ascii="宋体" w:hAnsi="宋体" w:cs="宋体"/>
          <w:b/>
          <w:color w:val="000000"/>
          <w:sz w:val="32"/>
          <w:szCs w:val="32"/>
        </w:rPr>
      </w:pPr>
    </w:p>
    <w:p>
      <w:pPr>
        <w:ind w:firstLine="1767" w:firstLineChars="550"/>
        <w:rPr>
          <w:rFonts w:ascii="宋体" w:hAnsi="宋体" w:cs="宋体"/>
          <w:b/>
          <w:color w:val="000000"/>
          <w:sz w:val="32"/>
          <w:szCs w:val="32"/>
        </w:rPr>
      </w:pPr>
      <w:r>
        <w:rPr>
          <w:rFonts w:hint="eastAsia" w:ascii="宋体" w:hAnsi="宋体" w:cs="宋体"/>
          <w:b/>
          <w:color w:val="000000"/>
          <w:sz w:val="32"/>
          <w:szCs w:val="32"/>
        </w:rPr>
        <w:t xml:space="preserve">审批： </w:t>
      </w:r>
    </w:p>
    <w:p>
      <w:pPr>
        <w:ind w:firstLine="1760" w:firstLineChars="550"/>
        <w:rPr>
          <w:rFonts w:ascii="宋体" w:hAnsi="宋体" w:cs="宋体"/>
          <w:color w:val="000000"/>
          <w:sz w:val="32"/>
          <w:szCs w:val="32"/>
        </w:rPr>
      </w:pPr>
    </w:p>
    <w:p>
      <w:pPr>
        <w:pStyle w:val="2"/>
      </w:pPr>
    </w:p>
    <w:p>
      <w:pPr>
        <w:ind w:firstLine="1760" w:firstLineChars="550"/>
        <w:rPr>
          <w:rFonts w:ascii="宋体" w:hAnsi="宋体" w:cs="宋体"/>
          <w:color w:val="000000"/>
          <w:sz w:val="32"/>
          <w:szCs w:val="32"/>
        </w:rPr>
      </w:pPr>
    </w:p>
    <w:p>
      <w:pPr>
        <w:jc w:val="center"/>
        <w:rPr>
          <w:rFonts w:ascii="宋体" w:hAnsi="宋体" w:cs="宋体"/>
          <w:sz w:val="32"/>
          <w:szCs w:val="32"/>
        </w:rPr>
      </w:pPr>
      <w:r>
        <w:rPr>
          <w:rFonts w:hint="eastAsia" w:ascii="宋体" w:hAnsi="宋体" w:cs="宋体"/>
          <w:sz w:val="32"/>
          <w:szCs w:val="32"/>
        </w:rPr>
        <w:t>北方联合电力有限责任公司(盖章)</w:t>
      </w:r>
    </w:p>
    <w:p>
      <w:pPr>
        <w:jc w:val="center"/>
        <w:rPr>
          <w:rFonts w:ascii="宋体" w:hAnsi="宋体" w:cs="宋体"/>
          <w:sz w:val="32"/>
          <w:szCs w:val="32"/>
        </w:rPr>
      </w:pPr>
      <w:r>
        <w:rPr>
          <w:rFonts w:hint="eastAsia" w:ascii="宋体" w:hAnsi="宋体" w:cs="宋体"/>
          <w:sz w:val="32"/>
          <w:szCs w:val="32"/>
        </w:rPr>
        <w:t>2022年4月15日</w:t>
      </w:r>
    </w:p>
    <w:p>
      <w:pPr>
        <w:pStyle w:val="12"/>
        <w:pageBreakBefore/>
        <w:jc w:val="center"/>
        <w:rPr>
          <w:rFonts w:ascii="宋体" w:hAnsi="宋体" w:cs="宋体"/>
          <w:b/>
          <w:sz w:val="28"/>
          <w:szCs w:val="28"/>
        </w:rPr>
        <w:sectPr>
          <w:pgSz w:w="11906" w:h="16838"/>
          <w:pgMar w:top="1440" w:right="1800" w:bottom="1440" w:left="1800" w:header="851" w:footer="992" w:gutter="0"/>
          <w:cols w:space="425" w:num="1"/>
          <w:docGrid w:type="lines" w:linePitch="312" w:charSpace="0"/>
        </w:sectPr>
      </w:pPr>
    </w:p>
    <w:p>
      <w:pPr>
        <w:spacing w:line="360" w:lineRule="auto"/>
        <w:jc w:val="center"/>
        <w:rPr>
          <w:rFonts w:asciiTheme="minorEastAsia" w:hAnsiTheme="minorEastAsia" w:eastAsiaTheme="minorEastAsia"/>
          <w:b/>
          <w:sz w:val="48"/>
          <w:szCs w:val="32"/>
        </w:rPr>
      </w:pPr>
      <w:r>
        <w:rPr>
          <w:rFonts w:hint="eastAsia" w:asciiTheme="minorEastAsia" w:hAnsiTheme="minorEastAsia" w:eastAsiaTheme="minorEastAsia"/>
          <w:b/>
          <w:sz w:val="48"/>
          <w:szCs w:val="32"/>
        </w:rPr>
        <w:t>注意事项</w:t>
      </w:r>
    </w:p>
    <w:p>
      <w:pPr>
        <w:spacing w:line="360" w:lineRule="auto"/>
        <w:ind w:firstLine="810"/>
        <w:jc w:val="left"/>
        <w:rPr>
          <w:rFonts w:asciiTheme="minorEastAsia" w:hAnsiTheme="minorEastAsia" w:eastAsiaTheme="minorEastAsia"/>
          <w:b/>
          <w:sz w:val="36"/>
          <w:szCs w:val="40"/>
        </w:rPr>
      </w:pPr>
      <w:r>
        <w:rPr>
          <w:rFonts w:hint="eastAsia" w:asciiTheme="minorEastAsia" w:hAnsiTheme="minorEastAsia" w:eastAsiaTheme="minorEastAsia"/>
          <w:b/>
          <w:sz w:val="36"/>
          <w:szCs w:val="40"/>
        </w:rPr>
        <w:t>供应商</w:t>
      </w:r>
      <w:r>
        <w:rPr>
          <w:rFonts w:asciiTheme="minorEastAsia" w:hAnsiTheme="minorEastAsia" w:eastAsiaTheme="minorEastAsia"/>
          <w:b/>
          <w:sz w:val="36"/>
          <w:szCs w:val="40"/>
        </w:rPr>
        <w:t>报价</w:t>
      </w:r>
      <w:r>
        <w:rPr>
          <w:rFonts w:hint="eastAsia" w:asciiTheme="minorEastAsia" w:hAnsiTheme="minorEastAsia" w:eastAsiaTheme="minorEastAsia"/>
          <w:b/>
          <w:sz w:val="36"/>
          <w:szCs w:val="40"/>
        </w:rPr>
        <w:t>时凡</w:t>
      </w:r>
      <w:r>
        <w:rPr>
          <w:rFonts w:asciiTheme="minorEastAsia" w:hAnsiTheme="minorEastAsia" w:eastAsiaTheme="minorEastAsia"/>
          <w:b/>
          <w:sz w:val="36"/>
          <w:szCs w:val="40"/>
        </w:rPr>
        <w:t>涉及</w:t>
      </w:r>
      <w:r>
        <w:rPr>
          <w:rFonts w:hint="eastAsia" w:asciiTheme="minorEastAsia" w:hAnsiTheme="minorEastAsia" w:eastAsiaTheme="minorEastAsia"/>
          <w:b/>
          <w:sz w:val="36"/>
          <w:szCs w:val="40"/>
        </w:rPr>
        <w:t>以下</w:t>
      </w:r>
      <w:r>
        <w:rPr>
          <w:rFonts w:asciiTheme="minorEastAsia" w:hAnsiTheme="minorEastAsia" w:eastAsiaTheme="minorEastAsia"/>
          <w:b/>
          <w:sz w:val="36"/>
          <w:szCs w:val="40"/>
        </w:rPr>
        <w:t>任一</w:t>
      </w:r>
      <w:r>
        <w:rPr>
          <w:rFonts w:hint="eastAsia" w:asciiTheme="minorEastAsia" w:hAnsiTheme="minorEastAsia" w:eastAsiaTheme="minorEastAsia"/>
          <w:b/>
          <w:sz w:val="36"/>
          <w:szCs w:val="40"/>
        </w:rPr>
        <w:t>条款</w:t>
      </w:r>
      <w:r>
        <w:rPr>
          <w:rFonts w:asciiTheme="minorEastAsia" w:hAnsiTheme="minorEastAsia" w:eastAsiaTheme="minorEastAsia"/>
          <w:b/>
          <w:sz w:val="36"/>
          <w:szCs w:val="40"/>
        </w:rPr>
        <w:t>均视为无效报价</w:t>
      </w:r>
      <w:r>
        <w:rPr>
          <w:rFonts w:hint="eastAsia" w:asciiTheme="minorEastAsia" w:hAnsiTheme="minorEastAsia" w:eastAsiaTheme="minorEastAsia"/>
          <w:b/>
          <w:sz w:val="36"/>
          <w:szCs w:val="40"/>
        </w:rPr>
        <w:t>并</w:t>
      </w:r>
      <w:r>
        <w:rPr>
          <w:rFonts w:asciiTheme="minorEastAsia" w:hAnsiTheme="minorEastAsia" w:eastAsiaTheme="minorEastAsia"/>
          <w:b/>
          <w:sz w:val="36"/>
          <w:szCs w:val="40"/>
        </w:rPr>
        <w:t>纳入供应商考评</w:t>
      </w:r>
      <w:r>
        <w:rPr>
          <w:rFonts w:hint="eastAsia" w:asciiTheme="minorEastAsia" w:hAnsiTheme="minorEastAsia" w:eastAsiaTheme="minorEastAsia"/>
          <w:b/>
          <w:sz w:val="36"/>
          <w:szCs w:val="40"/>
        </w:rPr>
        <w:t>，具体</w:t>
      </w:r>
      <w:r>
        <w:rPr>
          <w:rFonts w:asciiTheme="minorEastAsia" w:hAnsiTheme="minorEastAsia" w:eastAsiaTheme="minorEastAsia"/>
          <w:b/>
          <w:sz w:val="36"/>
          <w:szCs w:val="40"/>
        </w:rPr>
        <w:t>条款如下</w:t>
      </w:r>
      <w:r>
        <w:rPr>
          <w:rFonts w:hint="eastAsia" w:asciiTheme="minorEastAsia" w:hAnsiTheme="minorEastAsia" w:eastAsiaTheme="minorEastAsia"/>
          <w:b/>
          <w:sz w:val="36"/>
          <w:szCs w:val="40"/>
        </w:rPr>
        <w:t>：</w:t>
      </w:r>
    </w:p>
    <w:p>
      <w:pPr>
        <w:spacing w:line="360" w:lineRule="auto"/>
        <w:ind w:firstLine="810"/>
        <w:jc w:val="left"/>
        <w:rPr>
          <w:rFonts w:asciiTheme="minorEastAsia" w:hAnsiTheme="minorEastAsia"/>
          <w:color w:val="00B0F0"/>
          <w:sz w:val="36"/>
          <w:szCs w:val="40"/>
        </w:rPr>
      </w:pPr>
      <w:r>
        <w:rPr>
          <w:rFonts w:hint="eastAsia" w:asciiTheme="minorEastAsia" w:hAnsiTheme="minorEastAsia"/>
          <w:sz w:val="36"/>
          <w:szCs w:val="40"/>
        </w:rPr>
        <w:t>1.供应商</w:t>
      </w:r>
      <w:r>
        <w:rPr>
          <w:rFonts w:hint="eastAsia" w:asciiTheme="minorEastAsia" w:hAnsiTheme="minorEastAsia"/>
          <w:b/>
          <w:color w:val="FF0000"/>
          <w:sz w:val="36"/>
          <w:szCs w:val="40"/>
        </w:rPr>
        <w:t>单位负责人为同一人或者存在控股、管理关系</w:t>
      </w:r>
    </w:p>
    <w:p>
      <w:pPr>
        <w:spacing w:line="360" w:lineRule="auto"/>
        <w:ind w:firstLine="810"/>
        <w:jc w:val="left"/>
        <w:rPr>
          <w:rFonts w:asciiTheme="minorEastAsia" w:hAnsiTheme="minorEastAsia"/>
          <w:sz w:val="36"/>
          <w:szCs w:val="40"/>
        </w:rPr>
      </w:pPr>
      <w:r>
        <w:rPr>
          <w:rFonts w:hint="eastAsia" w:asciiTheme="minorEastAsia" w:hAnsiTheme="minorEastAsia"/>
          <w:sz w:val="36"/>
          <w:szCs w:val="40"/>
        </w:rPr>
        <w:t>2.供应商</w:t>
      </w:r>
      <w:r>
        <w:rPr>
          <w:rFonts w:hint="eastAsia" w:asciiTheme="minorEastAsia" w:hAnsiTheme="minorEastAsia"/>
          <w:b/>
          <w:color w:val="FF0000"/>
          <w:sz w:val="36"/>
          <w:szCs w:val="40"/>
        </w:rPr>
        <w:t>处于人民法院“失信被执行人”名单</w:t>
      </w:r>
      <w:r>
        <w:rPr>
          <w:rFonts w:hint="eastAsia" w:asciiTheme="minorEastAsia" w:hAnsiTheme="minorEastAsia"/>
          <w:color w:val="00B0F0"/>
          <w:sz w:val="36"/>
          <w:szCs w:val="36"/>
        </w:rPr>
        <w:t>（</w:t>
      </w:r>
      <w:r>
        <w:rPr>
          <w:rFonts w:hint="eastAsia" w:asciiTheme="minorEastAsia" w:hAnsiTheme="minorEastAsia"/>
          <w:sz w:val="36"/>
          <w:szCs w:val="40"/>
        </w:rPr>
        <w:t>或</w:t>
      </w:r>
      <w:r>
        <w:rPr>
          <w:rFonts w:hint="eastAsia" w:asciiTheme="minorEastAsia" w:hAnsiTheme="minorEastAsia"/>
          <w:b/>
          <w:color w:val="FF0000"/>
          <w:sz w:val="36"/>
          <w:szCs w:val="40"/>
        </w:rPr>
        <w:t>工商行政管理机关“严重违法失信企业”名单</w:t>
      </w:r>
      <w:r>
        <w:rPr>
          <w:rFonts w:hint="eastAsia" w:asciiTheme="minorEastAsia" w:hAnsiTheme="minorEastAsia"/>
          <w:sz w:val="36"/>
          <w:szCs w:val="40"/>
        </w:rPr>
        <w:t>的</w:t>
      </w:r>
      <w:r>
        <w:rPr>
          <w:rFonts w:hint="eastAsia" w:asciiTheme="minorEastAsia" w:hAnsiTheme="minorEastAsia"/>
          <w:color w:val="FF0000"/>
          <w:sz w:val="36"/>
          <w:szCs w:val="40"/>
        </w:rPr>
        <w:t>；</w:t>
      </w:r>
    </w:p>
    <w:p>
      <w:pPr>
        <w:spacing w:line="360" w:lineRule="auto"/>
        <w:ind w:firstLine="810"/>
        <w:jc w:val="left"/>
        <w:rPr>
          <w:rFonts w:asciiTheme="minorEastAsia" w:hAnsiTheme="minorEastAsia"/>
          <w:sz w:val="36"/>
          <w:szCs w:val="40"/>
        </w:rPr>
      </w:pPr>
      <w:r>
        <w:rPr>
          <w:rFonts w:hint="eastAsia" w:asciiTheme="minorEastAsia" w:hAnsiTheme="minorEastAsia"/>
          <w:sz w:val="36"/>
          <w:szCs w:val="40"/>
        </w:rPr>
        <w:t>3.供应商</w:t>
      </w:r>
      <w:r>
        <w:rPr>
          <w:rFonts w:hint="eastAsia" w:asciiTheme="minorEastAsia" w:hAnsiTheme="minorEastAsia"/>
          <w:b/>
          <w:color w:val="FF0000"/>
          <w:sz w:val="36"/>
          <w:szCs w:val="40"/>
        </w:rPr>
        <w:t>不上传附件（响应文件），上传的文件未加盖本单位公章，上传的资质非原件扫描</w:t>
      </w:r>
      <w:r>
        <w:rPr>
          <w:rFonts w:hint="eastAsia" w:asciiTheme="minorEastAsia" w:hAnsiTheme="minorEastAsia"/>
          <w:sz w:val="36"/>
          <w:szCs w:val="40"/>
        </w:rPr>
        <w:t>的。</w:t>
      </w:r>
    </w:p>
    <w:p>
      <w:pPr>
        <w:spacing w:line="360" w:lineRule="auto"/>
        <w:ind w:firstLine="810"/>
        <w:jc w:val="left"/>
        <w:rPr>
          <w:rFonts w:asciiTheme="minorEastAsia" w:hAnsiTheme="minorEastAsia"/>
          <w:sz w:val="36"/>
          <w:szCs w:val="40"/>
        </w:rPr>
      </w:pPr>
      <w:r>
        <w:rPr>
          <w:rFonts w:hint="eastAsia" w:asciiTheme="minorEastAsia" w:hAnsiTheme="minorEastAsia"/>
          <w:sz w:val="36"/>
          <w:szCs w:val="40"/>
        </w:rPr>
        <w:t>4.供应商</w:t>
      </w:r>
      <w:r>
        <w:rPr>
          <w:rFonts w:hint="eastAsia" w:asciiTheme="minorEastAsia" w:hAnsiTheme="minorEastAsia"/>
          <w:b/>
          <w:color w:val="FF0000"/>
          <w:sz w:val="36"/>
          <w:szCs w:val="40"/>
        </w:rPr>
        <w:t>不上传报价清单或报价清单未盖章, 分项报价与总价不一致(计算错误或缺项、漏项、多项)</w:t>
      </w:r>
      <w:r>
        <w:rPr>
          <w:rFonts w:hint="eastAsia" w:asciiTheme="minorEastAsia" w:hAnsiTheme="minorEastAsia"/>
          <w:sz w:val="36"/>
          <w:szCs w:val="40"/>
        </w:rPr>
        <w:t>的。</w:t>
      </w:r>
    </w:p>
    <w:p>
      <w:pPr>
        <w:spacing w:line="360" w:lineRule="auto"/>
        <w:ind w:firstLine="810"/>
        <w:jc w:val="left"/>
        <w:rPr>
          <w:rFonts w:asciiTheme="minorEastAsia" w:hAnsiTheme="minorEastAsia"/>
          <w:sz w:val="36"/>
          <w:szCs w:val="40"/>
        </w:rPr>
      </w:pPr>
      <w:r>
        <w:rPr>
          <w:rFonts w:hint="eastAsia" w:asciiTheme="minorEastAsia" w:hAnsiTheme="minorEastAsia"/>
          <w:sz w:val="36"/>
          <w:szCs w:val="40"/>
        </w:rPr>
        <w:t>5.供应商</w:t>
      </w:r>
      <w:r>
        <w:rPr>
          <w:rFonts w:hint="eastAsia" w:asciiTheme="minorEastAsia" w:hAnsiTheme="minorEastAsia"/>
          <w:b/>
          <w:color w:val="FF0000"/>
          <w:sz w:val="36"/>
          <w:szCs w:val="40"/>
        </w:rPr>
        <w:t>无法接受后付款方式</w:t>
      </w:r>
      <w:r>
        <w:rPr>
          <w:rFonts w:hint="eastAsia" w:asciiTheme="minorEastAsia" w:hAnsiTheme="minorEastAsia"/>
          <w:sz w:val="36"/>
          <w:szCs w:val="40"/>
        </w:rPr>
        <w:t>。</w:t>
      </w:r>
    </w:p>
    <w:p>
      <w:pPr>
        <w:spacing w:line="360" w:lineRule="auto"/>
        <w:ind w:firstLine="810"/>
        <w:jc w:val="left"/>
        <w:rPr>
          <w:rFonts w:asciiTheme="minorEastAsia" w:hAnsiTheme="minorEastAsia"/>
          <w:sz w:val="36"/>
          <w:szCs w:val="40"/>
        </w:rPr>
      </w:pPr>
      <w:r>
        <w:rPr>
          <w:rFonts w:hint="eastAsia" w:asciiTheme="minorEastAsia" w:hAnsiTheme="minorEastAsia"/>
          <w:sz w:val="36"/>
          <w:szCs w:val="40"/>
        </w:rPr>
        <w:t>6.供应商</w:t>
      </w:r>
      <w:r>
        <w:rPr>
          <w:rFonts w:hint="eastAsia" w:asciiTheme="minorEastAsia" w:hAnsiTheme="minorEastAsia"/>
          <w:b/>
          <w:color w:val="FF0000"/>
          <w:sz w:val="36"/>
          <w:szCs w:val="40"/>
        </w:rPr>
        <w:t>提供的资格、业绩、证明等材料存在造假行为</w:t>
      </w:r>
      <w:r>
        <w:rPr>
          <w:rFonts w:hint="eastAsia" w:asciiTheme="minorEastAsia" w:hAnsiTheme="minorEastAsia"/>
          <w:sz w:val="36"/>
          <w:szCs w:val="40"/>
        </w:rPr>
        <w:t>的。</w:t>
      </w:r>
    </w:p>
    <w:p>
      <w:pPr>
        <w:spacing w:line="360" w:lineRule="auto"/>
        <w:ind w:firstLine="810"/>
        <w:jc w:val="left"/>
        <w:rPr>
          <w:rFonts w:asciiTheme="minorEastAsia" w:hAnsiTheme="minorEastAsia"/>
          <w:sz w:val="36"/>
          <w:szCs w:val="40"/>
        </w:rPr>
      </w:pPr>
      <w:r>
        <w:rPr>
          <w:rFonts w:hint="eastAsia" w:asciiTheme="minorEastAsia" w:hAnsiTheme="minorEastAsia"/>
          <w:sz w:val="36"/>
          <w:szCs w:val="40"/>
        </w:rPr>
        <w:t>7.</w:t>
      </w:r>
      <w:r>
        <w:rPr>
          <w:rFonts w:hint="eastAsia" w:asciiTheme="minorEastAsia" w:hAnsiTheme="minorEastAsia"/>
          <w:sz w:val="22"/>
        </w:rPr>
        <w:t xml:space="preserve"> </w:t>
      </w:r>
      <w:r>
        <w:rPr>
          <w:rFonts w:hint="eastAsia" w:asciiTheme="minorEastAsia" w:hAnsiTheme="minorEastAsia"/>
          <w:sz w:val="36"/>
          <w:szCs w:val="40"/>
        </w:rPr>
        <w:t>供应商</w:t>
      </w:r>
      <w:r>
        <w:rPr>
          <w:rFonts w:hint="eastAsia" w:asciiTheme="minorEastAsia" w:hAnsiTheme="minorEastAsia"/>
          <w:b/>
          <w:color w:val="FF0000"/>
          <w:sz w:val="36"/>
          <w:szCs w:val="40"/>
        </w:rPr>
        <w:t>存在</w:t>
      </w:r>
      <w:r>
        <w:rPr>
          <w:rFonts w:asciiTheme="minorEastAsia" w:hAnsiTheme="minorEastAsia"/>
          <w:b/>
          <w:color w:val="FF0000"/>
          <w:sz w:val="36"/>
          <w:szCs w:val="40"/>
        </w:rPr>
        <w:t>上传数据或响应文件的互联网协议地址（</w:t>
      </w:r>
      <w:r>
        <w:rPr>
          <w:rFonts w:hint="eastAsia" w:asciiTheme="minorEastAsia" w:hAnsiTheme="minorEastAsia"/>
          <w:b/>
          <w:color w:val="FF0000"/>
          <w:sz w:val="36"/>
          <w:szCs w:val="40"/>
        </w:rPr>
        <w:t>IP地址</w:t>
      </w:r>
      <w:r>
        <w:rPr>
          <w:rFonts w:asciiTheme="minorEastAsia" w:hAnsiTheme="minorEastAsia"/>
          <w:b/>
          <w:color w:val="FF0000"/>
          <w:sz w:val="36"/>
          <w:szCs w:val="40"/>
        </w:rPr>
        <w:t>）</w:t>
      </w:r>
      <w:r>
        <w:rPr>
          <w:rFonts w:hint="eastAsia" w:asciiTheme="minorEastAsia" w:hAnsiTheme="minorEastAsia"/>
          <w:b/>
          <w:color w:val="FF0000"/>
          <w:sz w:val="36"/>
          <w:szCs w:val="40"/>
        </w:rPr>
        <w:t>信息</w:t>
      </w:r>
      <w:r>
        <w:rPr>
          <w:rFonts w:asciiTheme="minorEastAsia" w:hAnsiTheme="minorEastAsia"/>
          <w:b/>
          <w:color w:val="FF0000"/>
          <w:sz w:val="36"/>
          <w:szCs w:val="40"/>
        </w:rPr>
        <w:t>检查一致</w:t>
      </w:r>
      <w:r>
        <w:rPr>
          <w:rFonts w:hint="eastAsia" w:asciiTheme="minorEastAsia" w:hAnsiTheme="minorEastAsia"/>
          <w:sz w:val="36"/>
          <w:szCs w:val="40"/>
        </w:rPr>
        <w:t>的</w:t>
      </w:r>
      <w:r>
        <w:rPr>
          <w:rFonts w:asciiTheme="minorEastAsia" w:hAnsiTheme="minorEastAsia"/>
          <w:sz w:val="36"/>
          <w:szCs w:val="40"/>
        </w:rPr>
        <w:t>。</w:t>
      </w:r>
    </w:p>
    <w:p>
      <w:pPr>
        <w:spacing w:line="360" w:lineRule="auto"/>
        <w:ind w:firstLine="810"/>
        <w:jc w:val="left"/>
        <w:rPr>
          <w:rFonts w:asciiTheme="minorEastAsia" w:hAnsiTheme="minorEastAsia" w:eastAsiaTheme="minorEastAsia"/>
          <w:sz w:val="36"/>
          <w:szCs w:val="40"/>
        </w:rPr>
      </w:pPr>
      <w:r>
        <w:rPr>
          <w:rFonts w:asciiTheme="minorEastAsia" w:hAnsiTheme="minorEastAsia"/>
          <w:sz w:val="36"/>
          <w:szCs w:val="40"/>
        </w:rPr>
        <w:t>8</w:t>
      </w:r>
      <w:r>
        <w:rPr>
          <w:rFonts w:hint="eastAsia" w:asciiTheme="minorEastAsia" w:hAnsiTheme="minorEastAsia"/>
          <w:sz w:val="36"/>
          <w:szCs w:val="40"/>
        </w:rPr>
        <w:t>.</w:t>
      </w:r>
      <w:r>
        <w:rPr>
          <w:rFonts w:hint="eastAsia"/>
          <w:sz w:val="20"/>
        </w:rPr>
        <w:t xml:space="preserve"> </w:t>
      </w:r>
      <w:r>
        <w:rPr>
          <w:rFonts w:hint="eastAsia" w:asciiTheme="minorEastAsia" w:hAnsiTheme="minorEastAsia"/>
          <w:sz w:val="36"/>
          <w:szCs w:val="40"/>
        </w:rPr>
        <w:t>供应商</w:t>
      </w:r>
      <w:r>
        <w:rPr>
          <w:rFonts w:hint="eastAsia" w:asciiTheme="minorEastAsia" w:hAnsiTheme="minorEastAsia"/>
          <w:b/>
          <w:color w:val="FF0000"/>
          <w:sz w:val="36"/>
          <w:szCs w:val="40"/>
        </w:rPr>
        <w:t>非生产商或制造商直接授权而是转授权</w:t>
      </w:r>
      <w:r>
        <w:rPr>
          <w:rFonts w:hint="eastAsia" w:asciiTheme="minorEastAsia" w:hAnsiTheme="minorEastAsia"/>
          <w:sz w:val="36"/>
          <w:szCs w:val="40"/>
        </w:rPr>
        <w:t>的。</w:t>
      </w:r>
    </w:p>
    <w:p>
      <w:pPr>
        <w:pStyle w:val="12"/>
        <w:pageBreakBefore/>
        <w:jc w:val="center"/>
        <w:rPr>
          <w:rFonts w:ascii="宋体" w:hAnsi="宋体" w:cs="宋体"/>
          <w:b/>
          <w:sz w:val="44"/>
          <w:szCs w:val="44"/>
        </w:rPr>
      </w:pPr>
      <w:r>
        <w:rPr>
          <w:rFonts w:hint="eastAsia" w:ascii="宋体" w:hAnsi="宋体" w:cs="宋体"/>
          <w:b/>
          <w:sz w:val="44"/>
          <w:szCs w:val="44"/>
        </w:rPr>
        <w:t>总目录</w:t>
      </w:r>
    </w:p>
    <w:p>
      <w:pPr>
        <w:pStyle w:val="12"/>
        <w:rPr>
          <w:rFonts w:ascii="宋体" w:hAnsi="宋体" w:cs="宋体"/>
          <w:sz w:val="28"/>
          <w:szCs w:val="28"/>
        </w:rPr>
      </w:pPr>
    </w:p>
    <w:p>
      <w:pPr>
        <w:pStyle w:val="12"/>
        <w:rPr>
          <w:rFonts w:ascii="宋体" w:hAnsi="宋体" w:cs="宋体"/>
          <w:b/>
          <w:sz w:val="32"/>
          <w:szCs w:val="32"/>
        </w:rPr>
      </w:pPr>
      <w:r>
        <w:rPr>
          <w:rFonts w:hint="eastAsia" w:ascii="宋体" w:hAnsi="宋体" w:cs="宋体"/>
          <w:b/>
          <w:sz w:val="32"/>
          <w:szCs w:val="32"/>
        </w:rPr>
        <w:t>第一章  供应商须知</w:t>
      </w:r>
    </w:p>
    <w:p>
      <w:pPr>
        <w:pStyle w:val="12"/>
        <w:rPr>
          <w:rFonts w:ascii="宋体" w:hAnsi="宋体" w:cs="宋体"/>
          <w:b/>
          <w:sz w:val="32"/>
          <w:szCs w:val="32"/>
        </w:rPr>
      </w:pPr>
      <w:r>
        <w:rPr>
          <w:rFonts w:hint="eastAsia" w:ascii="宋体" w:hAnsi="宋体" w:cs="宋体"/>
          <w:b/>
          <w:sz w:val="32"/>
          <w:szCs w:val="32"/>
        </w:rPr>
        <w:t>第二章  采购项目概况</w:t>
      </w:r>
    </w:p>
    <w:p>
      <w:pPr>
        <w:pStyle w:val="12"/>
        <w:rPr>
          <w:rFonts w:ascii="宋体" w:hAnsi="宋体" w:cs="宋体"/>
          <w:b/>
          <w:sz w:val="32"/>
          <w:szCs w:val="32"/>
        </w:rPr>
      </w:pPr>
      <w:r>
        <w:rPr>
          <w:rFonts w:hint="eastAsia" w:ascii="宋体" w:hAnsi="宋体" w:cs="宋体"/>
          <w:b/>
          <w:sz w:val="32"/>
          <w:szCs w:val="32"/>
        </w:rPr>
        <w:t>第三章  供应商资格要求</w:t>
      </w:r>
    </w:p>
    <w:p>
      <w:pPr>
        <w:pStyle w:val="12"/>
        <w:rPr>
          <w:rFonts w:ascii="宋体" w:hAnsi="宋体" w:cs="宋体"/>
          <w:b/>
          <w:sz w:val="32"/>
          <w:szCs w:val="32"/>
        </w:rPr>
      </w:pPr>
      <w:r>
        <w:rPr>
          <w:rFonts w:hint="eastAsia" w:ascii="宋体" w:hAnsi="宋体" w:cs="宋体"/>
          <w:b/>
          <w:sz w:val="32"/>
          <w:szCs w:val="32"/>
        </w:rPr>
        <w:t>第四章  技术规范要求</w:t>
      </w:r>
    </w:p>
    <w:p>
      <w:pPr>
        <w:pageBreakBefore/>
        <w:jc w:val="center"/>
        <w:rPr>
          <w:rFonts w:ascii="黑体" w:hAnsi="黑体" w:eastAsia="黑体"/>
          <w:sz w:val="40"/>
          <w:szCs w:val="40"/>
        </w:rPr>
      </w:pPr>
      <w:r>
        <w:rPr>
          <w:rFonts w:hint="eastAsia" w:ascii="黑体" w:hAnsi="黑体" w:eastAsia="黑体"/>
          <w:sz w:val="40"/>
          <w:szCs w:val="40"/>
        </w:rPr>
        <w:t>第一章 供应商须知</w:t>
      </w:r>
    </w:p>
    <w:p>
      <w:pPr>
        <w:spacing w:line="360" w:lineRule="auto"/>
        <w:jc w:val="center"/>
        <w:rPr>
          <w:rFonts w:ascii="宋体" w:hAnsi="宋体" w:cs="宋体"/>
          <w:sz w:val="32"/>
          <w:szCs w:val="32"/>
        </w:rPr>
      </w:pPr>
      <w:r>
        <w:rPr>
          <w:rFonts w:hint="eastAsia" w:ascii="宋体" w:hAnsi="宋体" w:cs="宋体"/>
          <w:b/>
          <w:bCs/>
          <w:sz w:val="32"/>
          <w:szCs w:val="32"/>
          <w:u w:val="single"/>
        </w:rPr>
        <w:t xml:space="preserve"> </w:t>
      </w:r>
      <w:r>
        <w:rPr>
          <w:rFonts w:hint="eastAsia" w:ascii="黑体" w:hAnsi="黑体" w:eastAsia="黑体"/>
          <w:sz w:val="32"/>
          <w:szCs w:val="32"/>
          <w:u w:val="single"/>
        </w:rPr>
        <w:t xml:space="preserve">北方联合电力公司纪念建团100周年专题片策划制作服务 </w:t>
      </w:r>
      <w:r>
        <w:rPr>
          <w:rFonts w:hint="eastAsia" w:ascii="宋体" w:hAnsi="宋体" w:cs="宋体"/>
          <w:b/>
          <w:bCs/>
          <w:sz w:val="32"/>
          <w:szCs w:val="32"/>
        </w:rPr>
        <w:t>项目</w:t>
      </w:r>
    </w:p>
    <w:p>
      <w:pPr>
        <w:spacing w:line="360" w:lineRule="auto"/>
        <w:jc w:val="center"/>
        <w:rPr>
          <w:rFonts w:ascii="黑体" w:hAnsi="黑体" w:eastAsia="黑体"/>
          <w:sz w:val="36"/>
          <w:szCs w:val="36"/>
        </w:rPr>
      </w:pPr>
      <w:r>
        <w:rPr>
          <w:rFonts w:hint="eastAsia" w:ascii="黑体" w:hAnsi="黑体" w:eastAsia="黑体"/>
          <w:sz w:val="36"/>
          <w:szCs w:val="36"/>
        </w:rPr>
        <w:t>电商询价采购文件</w:t>
      </w:r>
    </w:p>
    <w:tbl>
      <w:tblPr>
        <w:tblStyle w:val="10"/>
        <w:tblW w:w="8808" w:type="dxa"/>
        <w:tblInd w:w="-51" w:type="dxa"/>
        <w:tblLayout w:type="fixed"/>
        <w:tblCellMar>
          <w:top w:w="0" w:type="dxa"/>
          <w:left w:w="108" w:type="dxa"/>
          <w:bottom w:w="0" w:type="dxa"/>
          <w:right w:w="108" w:type="dxa"/>
        </w:tblCellMar>
      </w:tblPr>
      <w:tblGrid>
        <w:gridCol w:w="945"/>
        <w:gridCol w:w="2128"/>
        <w:gridCol w:w="5735"/>
      </w:tblGrid>
      <w:tr>
        <w:tblPrEx>
          <w:tblLayout w:type="fixed"/>
          <w:tblCellMar>
            <w:top w:w="0" w:type="dxa"/>
            <w:left w:w="108" w:type="dxa"/>
            <w:bottom w:w="0" w:type="dxa"/>
            <w:right w:w="108" w:type="dxa"/>
          </w:tblCellMar>
        </w:tblPrEx>
        <w:trPr>
          <w:trHeight w:val="315" w:hRule="atLeast"/>
        </w:trPr>
        <w:tc>
          <w:tcPr>
            <w:tcW w:w="94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kern w:val="0"/>
                <w:sz w:val="22"/>
              </w:rPr>
            </w:pPr>
            <w:r>
              <w:rPr>
                <w:rFonts w:hint="eastAsia" w:ascii="宋体" w:hAnsi="宋体" w:cs="宋体"/>
                <w:kern w:val="0"/>
                <w:sz w:val="22"/>
              </w:rPr>
              <w:t>条款号</w:t>
            </w:r>
          </w:p>
        </w:tc>
        <w:tc>
          <w:tcPr>
            <w:tcW w:w="212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rPr>
            </w:pPr>
            <w:r>
              <w:rPr>
                <w:rFonts w:hint="eastAsia" w:ascii="宋体" w:hAnsi="宋体" w:cs="宋体"/>
                <w:kern w:val="0"/>
                <w:sz w:val="22"/>
              </w:rPr>
              <w:t>条 款 名 称</w:t>
            </w:r>
          </w:p>
        </w:tc>
        <w:tc>
          <w:tcPr>
            <w:tcW w:w="573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kern w:val="0"/>
                <w:sz w:val="22"/>
              </w:rPr>
            </w:pPr>
            <w:r>
              <w:rPr>
                <w:rFonts w:hint="eastAsia" w:ascii="宋体" w:hAnsi="宋体" w:cs="宋体"/>
                <w:kern w:val="0"/>
                <w:sz w:val="22"/>
              </w:rPr>
              <w:t>主     要     内     容</w:t>
            </w:r>
          </w:p>
        </w:tc>
      </w:tr>
      <w:tr>
        <w:tblPrEx>
          <w:tblLayout w:type="fixed"/>
          <w:tblCellMar>
            <w:top w:w="0" w:type="dxa"/>
            <w:left w:w="108" w:type="dxa"/>
            <w:bottom w:w="0" w:type="dxa"/>
            <w:right w:w="108" w:type="dxa"/>
          </w:tblCellMar>
        </w:tblPrEx>
        <w:trPr>
          <w:trHeight w:val="300" w:hRule="atLeast"/>
        </w:trPr>
        <w:tc>
          <w:tcPr>
            <w:tcW w:w="94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kern w:val="0"/>
                <w:sz w:val="22"/>
              </w:rPr>
            </w:pPr>
            <w:r>
              <w:rPr>
                <w:rFonts w:hint="eastAsia" w:ascii="宋体" w:hAnsi="宋体" w:cs="宋体"/>
                <w:kern w:val="0"/>
                <w:sz w:val="22"/>
              </w:rPr>
              <w:t>1</w:t>
            </w:r>
          </w:p>
        </w:tc>
        <w:tc>
          <w:tcPr>
            <w:tcW w:w="2128" w:type="dxa"/>
            <w:tcBorders>
              <w:top w:val="nil"/>
              <w:left w:val="nil"/>
              <w:bottom w:val="nil"/>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采购名称</w:t>
            </w:r>
          </w:p>
        </w:tc>
        <w:tc>
          <w:tcPr>
            <w:tcW w:w="5735" w:type="dxa"/>
            <w:tcBorders>
              <w:top w:val="single" w:color="auto" w:sz="4" w:space="0"/>
              <w:left w:val="nil"/>
              <w:bottom w:val="nil"/>
              <w:right w:val="single" w:color="auto" w:sz="8" w:space="0"/>
            </w:tcBorders>
            <w:shd w:val="clear" w:color="000000" w:fill="FFFFFF"/>
            <w:vAlign w:val="center"/>
          </w:tcPr>
          <w:p>
            <w:pPr>
              <w:widowControl/>
              <w:jc w:val="left"/>
              <w:rPr>
                <w:rFonts w:ascii="宋体" w:hAnsi="宋体" w:cs="宋体"/>
                <w:sz w:val="22"/>
              </w:rPr>
            </w:pPr>
            <w:r>
              <w:rPr>
                <w:rFonts w:hint="eastAsia" w:ascii="宋体" w:hAnsi="宋体" w:cs="宋体"/>
                <w:sz w:val="22"/>
              </w:rPr>
              <w:t>北方联合电力纪念建团100周年专题片策划制作服务</w:t>
            </w:r>
          </w:p>
        </w:tc>
      </w:tr>
      <w:tr>
        <w:tblPrEx>
          <w:tblLayout w:type="fixed"/>
          <w:tblCellMar>
            <w:top w:w="0" w:type="dxa"/>
            <w:left w:w="108" w:type="dxa"/>
            <w:bottom w:w="0" w:type="dxa"/>
            <w:right w:w="108" w:type="dxa"/>
          </w:tblCellMar>
        </w:tblPrEx>
        <w:trPr>
          <w:trHeight w:val="270" w:hRule="atLeast"/>
        </w:trPr>
        <w:tc>
          <w:tcPr>
            <w:tcW w:w="945"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kern w:val="0"/>
                <w:sz w:val="22"/>
              </w:rPr>
            </w:pPr>
            <w:r>
              <w:rPr>
                <w:rFonts w:hint="eastAsia" w:ascii="宋体" w:hAnsi="宋体" w:cs="宋体"/>
                <w:kern w:val="0"/>
                <w:sz w:val="22"/>
              </w:rPr>
              <w:t>2</w:t>
            </w:r>
          </w:p>
        </w:tc>
        <w:tc>
          <w:tcPr>
            <w:tcW w:w="212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采购单位</w:t>
            </w:r>
          </w:p>
        </w:tc>
        <w:tc>
          <w:tcPr>
            <w:tcW w:w="5735" w:type="dxa"/>
            <w:tcBorders>
              <w:top w:val="single" w:color="auto" w:sz="4" w:space="0"/>
              <w:left w:val="nil"/>
              <w:bottom w:val="nil"/>
              <w:right w:val="single" w:color="auto" w:sz="4" w:space="0"/>
            </w:tcBorders>
            <w:shd w:val="clear" w:color="000000" w:fill="FFFFFF"/>
            <w:vAlign w:val="center"/>
          </w:tcPr>
          <w:p>
            <w:pPr>
              <w:widowControl/>
              <w:jc w:val="left"/>
              <w:rPr>
                <w:rFonts w:ascii="宋体" w:hAnsi="宋体" w:cs="宋体"/>
                <w:sz w:val="22"/>
              </w:rPr>
            </w:pPr>
            <w:r>
              <w:rPr>
                <w:rFonts w:hint="eastAsia" w:ascii="宋体" w:hAnsi="宋体" w:cs="宋体"/>
                <w:sz w:val="22"/>
              </w:rPr>
              <w:t>项目单位：北方联合电力有限责任公司</w:t>
            </w:r>
          </w:p>
        </w:tc>
      </w:tr>
      <w:tr>
        <w:tblPrEx>
          <w:tblLayout w:type="fixed"/>
          <w:tblCellMar>
            <w:top w:w="0" w:type="dxa"/>
            <w:left w:w="108" w:type="dxa"/>
            <w:bottom w:w="0" w:type="dxa"/>
            <w:right w:w="108" w:type="dxa"/>
          </w:tblCellMar>
        </w:tblPrEx>
        <w:trPr>
          <w:trHeight w:val="270" w:hRule="atLeast"/>
        </w:trPr>
        <w:tc>
          <w:tcPr>
            <w:tcW w:w="94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21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5735" w:type="dxa"/>
            <w:tcBorders>
              <w:top w:val="nil"/>
              <w:left w:val="nil"/>
              <w:bottom w:val="nil"/>
              <w:right w:val="single" w:color="auto" w:sz="4" w:space="0"/>
            </w:tcBorders>
            <w:shd w:val="clear" w:color="000000" w:fill="FFFFFF"/>
            <w:vAlign w:val="center"/>
          </w:tcPr>
          <w:p>
            <w:pPr>
              <w:widowControl/>
              <w:jc w:val="left"/>
              <w:rPr>
                <w:rFonts w:ascii="宋体" w:hAnsi="宋体" w:cs="宋体"/>
                <w:sz w:val="22"/>
              </w:rPr>
            </w:pPr>
            <w:r>
              <w:rPr>
                <w:rFonts w:hint="eastAsia" w:ascii="宋体" w:hAnsi="宋体" w:cs="宋体"/>
                <w:sz w:val="22"/>
              </w:rPr>
              <w:t>地址：内蒙古呼和浩特市锡林南路15号</w:t>
            </w:r>
          </w:p>
        </w:tc>
      </w:tr>
      <w:tr>
        <w:tblPrEx>
          <w:tblLayout w:type="fixed"/>
          <w:tblCellMar>
            <w:top w:w="0" w:type="dxa"/>
            <w:left w:w="108" w:type="dxa"/>
            <w:bottom w:w="0" w:type="dxa"/>
            <w:right w:w="108" w:type="dxa"/>
          </w:tblCellMar>
        </w:tblPrEx>
        <w:trPr>
          <w:trHeight w:val="270" w:hRule="atLeast"/>
        </w:trPr>
        <w:tc>
          <w:tcPr>
            <w:tcW w:w="94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21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5735" w:type="dxa"/>
            <w:tcBorders>
              <w:top w:val="nil"/>
              <w:left w:val="nil"/>
              <w:bottom w:val="nil"/>
              <w:right w:val="single" w:color="auto" w:sz="4" w:space="0"/>
            </w:tcBorders>
            <w:shd w:val="clear" w:color="000000" w:fill="FFFFFF"/>
            <w:vAlign w:val="center"/>
          </w:tcPr>
          <w:p>
            <w:pPr>
              <w:widowControl/>
              <w:jc w:val="left"/>
              <w:rPr>
                <w:rFonts w:ascii="宋体" w:hAnsi="宋体" w:cs="宋体"/>
                <w:sz w:val="22"/>
              </w:rPr>
            </w:pPr>
            <w:r>
              <w:rPr>
                <w:rFonts w:hint="eastAsia" w:ascii="宋体" w:hAnsi="宋体" w:cs="宋体"/>
                <w:sz w:val="22"/>
              </w:rPr>
              <w:t>联 系 人：靳志伟</w:t>
            </w:r>
          </w:p>
        </w:tc>
      </w:tr>
      <w:tr>
        <w:tblPrEx>
          <w:tblLayout w:type="fixed"/>
          <w:tblCellMar>
            <w:top w:w="0" w:type="dxa"/>
            <w:left w:w="108" w:type="dxa"/>
            <w:bottom w:w="0" w:type="dxa"/>
            <w:right w:w="108" w:type="dxa"/>
          </w:tblCellMar>
        </w:tblPrEx>
        <w:trPr>
          <w:trHeight w:val="270" w:hRule="atLeast"/>
        </w:trPr>
        <w:tc>
          <w:tcPr>
            <w:tcW w:w="94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21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5735" w:type="dxa"/>
            <w:tcBorders>
              <w:top w:val="nil"/>
              <w:left w:val="nil"/>
              <w:bottom w:val="nil"/>
              <w:right w:val="single" w:color="auto" w:sz="4" w:space="0"/>
            </w:tcBorders>
            <w:shd w:val="clear" w:color="000000" w:fill="FFFFFF"/>
            <w:vAlign w:val="center"/>
          </w:tcPr>
          <w:p>
            <w:pPr>
              <w:widowControl/>
              <w:jc w:val="left"/>
              <w:rPr>
                <w:rFonts w:ascii="宋体" w:hAnsi="宋体" w:cs="宋体"/>
                <w:sz w:val="22"/>
              </w:rPr>
            </w:pPr>
            <w:r>
              <w:rPr>
                <w:rFonts w:hint="eastAsia" w:ascii="宋体" w:hAnsi="宋体" w:cs="宋体"/>
                <w:sz w:val="22"/>
              </w:rPr>
              <w:t>联系方式：15248121505</w:t>
            </w:r>
          </w:p>
        </w:tc>
      </w:tr>
      <w:tr>
        <w:tblPrEx>
          <w:tblLayout w:type="fixed"/>
          <w:tblCellMar>
            <w:top w:w="0" w:type="dxa"/>
            <w:left w:w="108" w:type="dxa"/>
            <w:bottom w:w="0" w:type="dxa"/>
            <w:right w:w="108" w:type="dxa"/>
          </w:tblCellMar>
        </w:tblPrEx>
        <w:trPr>
          <w:trHeight w:val="270" w:hRule="atLeast"/>
        </w:trPr>
        <w:tc>
          <w:tcPr>
            <w:tcW w:w="94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21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573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sz w:val="22"/>
              </w:rPr>
            </w:pPr>
            <w:r>
              <w:rPr>
                <w:rFonts w:hint="eastAsia" w:ascii="宋体" w:hAnsi="宋体" w:cs="宋体"/>
                <w:sz w:val="22"/>
              </w:rPr>
              <w:t>电商询价：公开询价</w:t>
            </w:r>
          </w:p>
        </w:tc>
      </w:tr>
      <w:tr>
        <w:tblPrEx>
          <w:tblLayout w:type="fixed"/>
          <w:tblCellMar>
            <w:top w:w="0" w:type="dxa"/>
            <w:left w:w="108" w:type="dxa"/>
            <w:bottom w:w="0" w:type="dxa"/>
            <w:right w:w="108" w:type="dxa"/>
          </w:tblCellMar>
        </w:tblPrEx>
        <w:trPr>
          <w:trHeight w:val="365" w:hRule="atLeast"/>
        </w:trPr>
        <w:tc>
          <w:tcPr>
            <w:tcW w:w="94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kern w:val="0"/>
                <w:sz w:val="22"/>
              </w:rPr>
            </w:pPr>
            <w:r>
              <w:rPr>
                <w:rFonts w:cs="宋体"/>
                <w:kern w:val="0"/>
                <w:sz w:val="22"/>
              </w:rPr>
              <w:t>3</w:t>
            </w:r>
          </w:p>
        </w:tc>
        <w:tc>
          <w:tcPr>
            <w:tcW w:w="2128"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采购范围</w:t>
            </w:r>
          </w:p>
        </w:tc>
        <w:tc>
          <w:tcPr>
            <w:tcW w:w="573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sz w:val="22"/>
              </w:rPr>
            </w:pPr>
            <w:r>
              <w:rPr>
                <w:rFonts w:hint="eastAsia" w:ascii="宋体" w:hAnsi="宋体" w:cs="宋体"/>
                <w:sz w:val="22"/>
              </w:rPr>
              <w:t>建团100周年专题片策划拍摄制作</w:t>
            </w:r>
          </w:p>
        </w:tc>
      </w:tr>
      <w:tr>
        <w:tblPrEx>
          <w:tblLayout w:type="fixed"/>
          <w:tblCellMar>
            <w:top w:w="0" w:type="dxa"/>
            <w:left w:w="108" w:type="dxa"/>
            <w:bottom w:w="0" w:type="dxa"/>
            <w:right w:w="108" w:type="dxa"/>
          </w:tblCellMar>
        </w:tblPrEx>
        <w:trPr>
          <w:trHeight w:val="352" w:hRule="atLeast"/>
        </w:trPr>
        <w:tc>
          <w:tcPr>
            <w:tcW w:w="94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kern w:val="0"/>
                <w:sz w:val="22"/>
              </w:rPr>
            </w:pPr>
            <w:r>
              <w:rPr>
                <w:rFonts w:hint="eastAsia" w:cs="宋体"/>
                <w:kern w:val="0"/>
                <w:sz w:val="22"/>
              </w:rPr>
              <w:t>4</w:t>
            </w:r>
          </w:p>
        </w:tc>
        <w:tc>
          <w:tcPr>
            <w:tcW w:w="2128"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服务期限</w:t>
            </w:r>
          </w:p>
        </w:tc>
        <w:tc>
          <w:tcPr>
            <w:tcW w:w="573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sz w:val="22"/>
              </w:rPr>
            </w:pPr>
            <w:r>
              <w:rPr>
                <w:rFonts w:hint="eastAsia" w:ascii="宋体" w:hAnsi="宋体" w:cs="宋体"/>
                <w:sz w:val="22"/>
              </w:rPr>
              <w:t>合同期限</w:t>
            </w:r>
          </w:p>
        </w:tc>
      </w:tr>
      <w:tr>
        <w:tblPrEx>
          <w:tblLayout w:type="fixed"/>
          <w:tblCellMar>
            <w:top w:w="0" w:type="dxa"/>
            <w:left w:w="108" w:type="dxa"/>
            <w:bottom w:w="0" w:type="dxa"/>
            <w:right w:w="108" w:type="dxa"/>
          </w:tblCellMar>
        </w:tblPrEx>
        <w:trPr>
          <w:trHeight w:val="1357" w:hRule="atLeast"/>
        </w:trPr>
        <w:tc>
          <w:tcPr>
            <w:tcW w:w="945" w:type="dxa"/>
            <w:tcBorders>
              <w:top w:val="nil"/>
              <w:left w:val="single" w:color="auto" w:sz="4" w:space="0"/>
              <w:bottom w:val="nil"/>
              <w:right w:val="single" w:color="auto" w:sz="4" w:space="0"/>
            </w:tcBorders>
            <w:shd w:val="clear" w:color="000000" w:fill="FFFFFF"/>
            <w:vAlign w:val="center"/>
          </w:tcPr>
          <w:p>
            <w:pPr>
              <w:widowControl/>
              <w:jc w:val="center"/>
              <w:rPr>
                <w:rFonts w:ascii="宋体" w:hAnsi="宋体" w:cs="宋体"/>
                <w:kern w:val="0"/>
                <w:sz w:val="22"/>
              </w:rPr>
            </w:pPr>
            <w:r>
              <w:rPr>
                <w:rFonts w:cs="宋体"/>
                <w:kern w:val="0"/>
                <w:sz w:val="22"/>
              </w:rPr>
              <w:t>5</w:t>
            </w:r>
          </w:p>
        </w:tc>
        <w:tc>
          <w:tcPr>
            <w:tcW w:w="2128"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color w:val="0070C0"/>
                <w:kern w:val="0"/>
                <w:sz w:val="22"/>
              </w:rPr>
              <w:t>询价程序</w:t>
            </w:r>
          </w:p>
        </w:tc>
        <w:tc>
          <w:tcPr>
            <w:tcW w:w="573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(1) 采购方制定询价文件；</w:t>
            </w:r>
          </w:p>
          <w:p>
            <w:pPr>
              <w:widowControl/>
              <w:jc w:val="left"/>
              <w:rPr>
                <w:rFonts w:ascii="宋体" w:hAnsi="宋体" w:cs="宋体"/>
                <w:color w:val="7030A0"/>
                <w:kern w:val="0"/>
                <w:sz w:val="22"/>
              </w:rPr>
            </w:pPr>
            <w:r>
              <w:rPr>
                <w:rFonts w:hint="eastAsia" w:ascii="宋体" w:hAnsi="宋体" w:cs="宋体"/>
                <w:color w:val="7030A0"/>
                <w:kern w:val="0"/>
                <w:sz w:val="22"/>
              </w:rPr>
              <w:t>(2) 采购方发起电商平台公开询价；</w:t>
            </w:r>
          </w:p>
          <w:p>
            <w:pPr>
              <w:widowControl/>
              <w:jc w:val="left"/>
              <w:rPr>
                <w:rFonts w:ascii="宋体" w:hAnsi="宋体" w:cs="宋体"/>
                <w:color w:val="7030A0"/>
                <w:kern w:val="0"/>
                <w:sz w:val="22"/>
              </w:rPr>
            </w:pPr>
            <w:r>
              <w:rPr>
                <w:rFonts w:hint="eastAsia" w:ascii="宋体" w:hAnsi="宋体" w:cs="宋体"/>
                <w:color w:val="7030A0"/>
                <w:kern w:val="0"/>
                <w:sz w:val="22"/>
              </w:rPr>
              <w:t>(3) 供应商严格按照询价文件要求编制并按时在线递交响应文件（含符合要求的资质、资格和报价清单等）；</w:t>
            </w:r>
          </w:p>
          <w:p>
            <w:pPr>
              <w:widowControl/>
              <w:jc w:val="left"/>
              <w:rPr>
                <w:rFonts w:ascii="宋体" w:hAnsi="宋体" w:cs="宋体"/>
                <w:color w:val="7030A0"/>
                <w:kern w:val="0"/>
                <w:sz w:val="22"/>
              </w:rPr>
            </w:pPr>
            <w:r>
              <w:rPr>
                <w:rFonts w:hint="eastAsia" w:ascii="宋体" w:hAnsi="宋体" w:cs="宋体"/>
                <w:color w:val="7030A0"/>
                <w:kern w:val="0"/>
                <w:sz w:val="22"/>
              </w:rPr>
              <w:t>(4)</w:t>
            </w:r>
            <w:r>
              <w:rPr>
                <w:rFonts w:ascii="宋体" w:hAnsi="宋体" w:cs="宋体"/>
                <w:color w:val="7030A0"/>
                <w:kern w:val="0"/>
                <w:sz w:val="22"/>
              </w:rPr>
              <w:t xml:space="preserve"> </w:t>
            </w:r>
            <w:r>
              <w:rPr>
                <w:rFonts w:hint="eastAsia" w:ascii="宋体" w:hAnsi="宋体" w:cs="宋体"/>
                <w:color w:val="7030A0"/>
                <w:kern w:val="0"/>
                <w:sz w:val="22"/>
              </w:rPr>
              <w:t>采购方组织评审；</w:t>
            </w:r>
          </w:p>
          <w:p>
            <w:pPr>
              <w:widowControl/>
              <w:jc w:val="left"/>
              <w:rPr>
                <w:rFonts w:ascii="宋体" w:hAnsi="宋体" w:cs="宋体"/>
                <w:sz w:val="22"/>
              </w:rPr>
            </w:pPr>
            <w:r>
              <w:rPr>
                <w:rFonts w:hint="eastAsia" w:ascii="宋体" w:hAnsi="宋体" w:cs="宋体"/>
                <w:kern w:val="0"/>
                <w:sz w:val="22"/>
              </w:rPr>
              <w:t>(</w:t>
            </w:r>
            <w:r>
              <w:rPr>
                <w:rFonts w:ascii="宋体" w:hAnsi="宋体" w:cs="宋体"/>
                <w:kern w:val="0"/>
                <w:sz w:val="22"/>
              </w:rPr>
              <w:t>5</w:t>
            </w:r>
            <w:r>
              <w:rPr>
                <w:rFonts w:hint="eastAsia" w:ascii="宋体" w:hAnsi="宋体" w:cs="宋体"/>
                <w:kern w:val="0"/>
                <w:sz w:val="22"/>
              </w:rPr>
              <w:t>) 采购方确定成交候选人及成交人。</w:t>
            </w:r>
          </w:p>
        </w:tc>
      </w:tr>
      <w:tr>
        <w:tblPrEx>
          <w:tblLayout w:type="fixed"/>
          <w:tblCellMar>
            <w:top w:w="0" w:type="dxa"/>
            <w:left w:w="108" w:type="dxa"/>
            <w:bottom w:w="0" w:type="dxa"/>
            <w:right w:w="108" w:type="dxa"/>
          </w:tblCellMar>
        </w:tblPrEx>
        <w:trPr>
          <w:trHeight w:val="1642" w:hRule="atLeast"/>
        </w:trPr>
        <w:tc>
          <w:tcPr>
            <w:tcW w:w="945" w:type="dxa"/>
            <w:tcBorders>
              <w:top w:val="single" w:color="auto" w:sz="4" w:space="0"/>
              <w:left w:val="single" w:color="auto" w:sz="4" w:space="0"/>
              <w:bottom w:val="nil"/>
              <w:right w:val="single" w:color="auto" w:sz="4" w:space="0"/>
            </w:tcBorders>
            <w:shd w:val="clear" w:color="000000" w:fill="FFFFFF"/>
            <w:vAlign w:val="center"/>
          </w:tcPr>
          <w:p>
            <w:pPr>
              <w:widowControl/>
              <w:jc w:val="center"/>
              <w:rPr>
                <w:rFonts w:ascii="宋体" w:hAnsi="宋体" w:cs="宋体"/>
                <w:kern w:val="0"/>
                <w:sz w:val="22"/>
              </w:rPr>
            </w:pPr>
            <w:r>
              <w:rPr>
                <w:rFonts w:cs="宋体"/>
                <w:kern w:val="0"/>
                <w:sz w:val="22"/>
              </w:rPr>
              <w:t>6</w:t>
            </w:r>
          </w:p>
        </w:tc>
        <w:tc>
          <w:tcPr>
            <w:tcW w:w="2128"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color w:val="0070C0"/>
                <w:kern w:val="0"/>
                <w:sz w:val="22"/>
              </w:rPr>
              <w:t>报价要求</w:t>
            </w:r>
          </w:p>
        </w:tc>
        <w:tc>
          <w:tcPr>
            <w:tcW w:w="573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(1) 报价方必须</w:t>
            </w:r>
            <w:r>
              <w:rPr>
                <w:rFonts w:ascii="宋体" w:hAnsi="宋体" w:cs="宋体"/>
                <w:kern w:val="0"/>
                <w:sz w:val="22"/>
              </w:rPr>
              <w:t>按照</w:t>
            </w:r>
            <w:r>
              <w:rPr>
                <w:rFonts w:hint="eastAsia" w:ascii="宋体" w:hAnsi="宋体" w:cs="宋体"/>
                <w:kern w:val="0"/>
                <w:sz w:val="22"/>
              </w:rPr>
              <w:t>清单</w:t>
            </w:r>
            <w:r>
              <w:rPr>
                <w:rFonts w:ascii="宋体" w:hAnsi="宋体" w:cs="宋体"/>
                <w:kern w:val="0"/>
                <w:sz w:val="22"/>
              </w:rPr>
              <w:t>分项</w:t>
            </w:r>
            <w:r>
              <w:rPr>
                <w:rFonts w:hint="eastAsia" w:ascii="宋体" w:hAnsi="宋体" w:cs="宋体"/>
                <w:kern w:val="0"/>
                <w:sz w:val="22"/>
              </w:rPr>
              <w:t>报价；</w:t>
            </w:r>
          </w:p>
          <w:p>
            <w:pPr>
              <w:widowControl/>
              <w:jc w:val="left"/>
              <w:rPr>
                <w:rFonts w:ascii="宋体" w:hAnsi="宋体" w:cs="宋体"/>
                <w:kern w:val="0"/>
                <w:sz w:val="22"/>
              </w:rPr>
            </w:pPr>
            <w:r>
              <w:rPr>
                <w:rFonts w:hint="eastAsia" w:ascii="宋体" w:hAnsi="宋体" w:cs="宋体"/>
                <w:kern w:val="0"/>
                <w:sz w:val="22"/>
              </w:rPr>
              <w:t>(2) 报价</w:t>
            </w:r>
            <w:r>
              <w:rPr>
                <w:rFonts w:ascii="宋体" w:hAnsi="宋体" w:cs="宋体"/>
                <w:kern w:val="0"/>
                <w:sz w:val="22"/>
              </w:rPr>
              <w:t>必须含运杂费</w:t>
            </w:r>
            <w:r>
              <w:rPr>
                <w:rFonts w:hint="eastAsia" w:ascii="宋体" w:hAnsi="宋体" w:cs="宋体"/>
                <w:kern w:val="0"/>
                <w:sz w:val="22"/>
              </w:rPr>
              <w:t>，并注明有效期</w:t>
            </w:r>
            <w:r>
              <w:rPr>
                <w:rFonts w:ascii="宋体" w:hAnsi="宋体" w:cs="宋体"/>
                <w:kern w:val="0"/>
                <w:sz w:val="22"/>
              </w:rPr>
              <w:t>；</w:t>
            </w:r>
          </w:p>
          <w:p>
            <w:pPr>
              <w:widowControl/>
              <w:jc w:val="left"/>
              <w:rPr>
                <w:rFonts w:ascii="宋体" w:hAnsi="宋体" w:cs="宋体"/>
                <w:kern w:val="0"/>
                <w:sz w:val="22"/>
              </w:rPr>
            </w:pPr>
            <w:r>
              <w:rPr>
                <w:rFonts w:hint="eastAsia" w:ascii="宋体" w:hAnsi="宋体" w:cs="宋体"/>
                <w:kern w:val="0"/>
                <w:sz w:val="22"/>
              </w:rPr>
              <w:t>(3)</w:t>
            </w:r>
            <w:r>
              <w:rPr>
                <w:rFonts w:ascii="宋体" w:hAnsi="宋体" w:cs="宋体"/>
                <w:kern w:val="0"/>
                <w:sz w:val="22"/>
              </w:rPr>
              <w:t xml:space="preserve"> </w:t>
            </w:r>
            <w:r>
              <w:rPr>
                <w:rFonts w:hint="eastAsia" w:ascii="宋体" w:hAnsi="宋体" w:cs="宋体"/>
                <w:kern w:val="0"/>
                <w:sz w:val="22"/>
              </w:rPr>
              <w:t>缺项、漏项或无</w:t>
            </w:r>
            <w:r>
              <w:rPr>
                <w:rFonts w:ascii="宋体" w:hAnsi="宋体" w:cs="宋体"/>
                <w:kern w:val="0"/>
                <w:sz w:val="22"/>
              </w:rPr>
              <w:t>分项报价视同报价无效</w:t>
            </w:r>
            <w:r>
              <w:rPr>
                <w:rFonts w:hint="eastAsia" w:ascii="宋体" w:hAnsi="宋体" w:cs="宋体"/>
                <w:kern w:val="0"/>
                <w:sz w:val="22"/>
              </w:rPr>
              <w:t>；</w:t>
            </w:r>
          </w:p>
          <w:p>
            <w:pPr>
              <w:widowControl/>
              <w:jc w:val="left"/>
              <w:rPr>
                <w:rFonts w:ascii="宋体" w:hAnsi="宋体" w:cs="宋体"/>
                <w:sz w:val="22"/>
              </w:rPr>
            </w:pPr>
            <w:r>
              <w:rPr>
                <w:rFonts w:hint="eastAsia" w:ascii="宋体" w:hAnsi="宋体" w:cs="宋体"/>
                <w:kern w:val="0"/>
                <w:sz w:val="22"/>
              </w:rPr>
              <w:t>(</w:t>
            </w:r>
            <w:r>
              <w:rPr>
                <w:rFonts w:ascii="宋体" w:hAnsi="宋体" w:cs="宋体"/>
                <w:kern w:val="0"/>
                <w:sz w:val="22"/>
              </w:rPr>
              <w:t>4</w:t>
            </w:r>
            <w:r>
              <w:rPr>
                <w:rFonts w:hint="eastAsia" w:ascii="宋体" w:hAnsi="宋体" w:cs="宋体"/>
                <w:kern w:val="0"/>
                <w:sz w:val="22"/>
              </w:rPr>
              <w:t>) 分项</w:t>
            </w:r>
            <w:r>
              <w:rPr>
                <w:rFonts w:ascii="宋体" w:hAnsi="宋体" w:cs="宋体"/>
                <w:kern w:val="0"/>
                <w:sz w:val="22"/>
              </w:rPr>
              <w:t>报价与总价不一致</w:t>
            </w:r>
            <w:r>
              <w:rPr>
                <w:rFonts w:hint="eastAsia" w:ascii="宋体" w:hAnsi="宋体" w:cs="宋体"/>
                <w:kern w:val="0"/>
                <w:sz w:val="22"/>
              </w:rPr>
              <w:t>视为报价</w:t>
            </w:r>
            <w:r>
              <w:rPr>
                <w:rFonts w:ascii="宋体" w:hAnsi="宋体" w:cs="宋体"/>
                <w:kern w:val="0"/>
                <w:sz w:val="22"/>
              </w:rPr>
              <w:t>无效</w:t>
            </w:r>
            <w:r>
              <w:rPr>
                <w:rFonts w:hint="eastAsia" w:ascii="宋体" w:hAnsi="宋体" w:cs="宋体"/>
                <w:kern w:val="0"/>
                <w:sz w:val="22"/>
              </w:rPr>
              <w:t>。</w:t>
            </w:r>
          </w:p>
        </w:tc>
      </w:tr>
      <w:tr>
        <w:tblPrEx>
          <w:tblLayout w:type="fixed"/>
          <w:tblCellMar>
            <w:top w:w="0" w:type="dxa"/>
            <w:left w:w="108" w:type="dxa"/>
            <w:bottom w:w="0" w:type="dxa"/>
            <w:right w:w="108" w:type="dxa"/>
          </w:tblCellMar>
        </w:tblPrEx>
        <w:trPr>
          <w:trHeight w:val="284" w:hRule="atLeast"/>
        </w:trPr>
        <w:tc>
          <w:tcPr>
            <w:tcW w:w="945" w:type="dxa"/>
            <w:vMerge w:val="restart"/>
            <w:tcBorders>
              <w:top w:val="single" w:color="auto" w:sz="4" w:space="0"/>
              <w:left w:val="single" w:color="auto" w:sz="4" w:space="0"/>
              <w:bottom w:val="nil"/>
              <w:right w:val="single" w:color="auto" w:sz="4" w:space="0"/>
            </w:tcBorders>
            <w:shd w:val="clear" w:color="000000" w:fill="FFFFFF"/>
            <w:vAlign w:val="center"/>
          </w:tcPr>
          <w:p>
            <w:pPr>
              <w:widowControl/>
              <w:jc w:val="center"/>
              <w:rPr>
                <w:rFonts w:ascii="宋体" w:hAnsi="宋体" w:cs="宋体"/>
                <w:kern w:val="0"/>
                <w:sz w:val="22"/>
              </w:rPr>
            </w:pPr>
            <w:r>
              <w:rPr>
                <w:rFonts w:cs="宋体"/>
                <w:kern w:val="0"/>
                <w:sz w:val="22"/>
              </w:rPr>
              <w:t>7</w:t>
            </w:r>
          </w:p>
        </w:tc>
        <w:tc>
          <w:tcPr>
            <w:tcW w:w="2128"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电子报价文件递交截止时间</w:t>
            </w:r>
          </w:p>
        </w:tc>
        <w:tc>
          <w:tcPr>
            <w:tcW w:w="5735" w:type="dxa"/>
            <w:tcBorders>
              <w:top w:val="nil"/>
              <w:left w:val="nil"/>
              <w:bottom w:val="single" w:color="auto" w:sz="8" w:space="0"/>
              <w:right w:val="single" w:color="auto" w:sz="8" w:space="0"/>
            </w:tcBorders>
            <w:shd w:val="clear" w:color="000000" w:fill="FFFFFF"/>
            <w:vAlign w:val="center"/>
          </w:tcPr>
          <w:p>
            <w:pPr>
              <w:widowControl/>
              <w:jc w:val="left"/>
              <w:rPr>
                <w:rFonts w:ascii="宋体" w:hAnsi="宋体" w:cs="宋体"/>
                <w:kern w:val="0"/>
                <w:sz w:val="22"/>
              </w:rPr>
            </w:pPr>
          </w:p>
        </w:tc>
      </w:tr>
      <w:tr>
        <w:tblPrEx>
          <w:tblLayout w:type="fixed"/>
          <w:tblCellMar>
            <w:top w:w="0" w:type="dxa"/>
            <w:left w:w="108" w:type="dxa"/>
            <w:bottom w:w="0" w:type="dxa"/>
            <w:right w:w="108" w:type="dxa"/>
          </w:tblCellMar>
        </w:tblPrEx>
        <w:trPr>
          <w:trHeight w:val="570" w:hRule="atLeast"/>
        </w:trPr>
        <w:tc>
          <w:tcPr>
            <w:tcW w:w="94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2128"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电子报价文件递交方式</w:t>
            </w:r>
          </w:p>
        </w:tc>
        <w:tc>
          <w:tcPr>
            <w:tcW w:w="5735" w:type="dxa"/>
            <w:tcBorders>
              <w:top w:val="nil"/>
              <w:left w:val="nil"/>
              <w:bottom w:val="single" w:color="auto" w:sz="4" w:space="0"/>
              <w:right w:val="single" w:color="auto" w:sz="8"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报价人通过中国华能集团公司电子商务平台在规定日期内</w:t>
            </w:r>
            <w:r>
              <w:rPr>
                <w:rFonts w:hint="eastAsia" w:ascii="宋体" w:hAnsi="宋体" w:cs="宋体"/>
                <w:color w:val="0070C0"/>
                <w:kern w:val="0"/>
                <w:sz w:val="22"/>
              </w:rPr>
              <w:t>进行报价并上传要求</w:t>
            </w:r>
            <w:r>
              <w:rPr>
                <w:rFonts w:ascii="宋体" w:hAnsi="宋体" w:cs="宋体"/>
                <w:color w:val="0070C0"/>
                <w:kern w:val="0"/>
                <w:sz w:val="22"/>
              </w:rPr>
              <w:t>的</w:t>
            </w:r>
            <w:r>
              <w:rPr>
                <w:rFonts w:hint="eastAsia" w:ascii="宋体" w:hAnsi="宋体" w:cs="宋体"/>
                <w:color w:val="0070C0"/>
                <w:kern w:val="0"/>
                <w:sz w:val="22"/>
              </w:rPr>
              <w:t>附件</w:t>
            </w:r>
            <w:r>
              <w:rPr>
                <w:rFonts w:hint="eastAsia" w:ascii="宋体" w:hAnsi="宋体" w:cs="宋体"/>
                <w:kern w:val="0"/>
                <w:sz w:val="22"/>
              </w:rPr>
              <w:t>。</w:t>
            </w:r>
          </w:p>
        </w:tc>
      </w:tr>
      <w:tr>
        <w:tblPrEx>
          <w:tblLayout w:type="fixed"/>
          <w:tblCellMar>
            <w:top w:w="0" w:type="dxa"/>
            <w:left w:w="108" w:type="dxa"/>
            <w:bottom w:w="0" w:type="dxa"/>
            <w:right w:w="108" w:type="dxa"/>
          </w:tblCellMar>
        </w:tblPrEx>
        <w:trPr>
          <w:trHeight w:val="625" w:hRule="atLeast"/>
        </w:trPr>
        <w:tc>
          <w:tcPr>
            <w:tcW w:w="94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kern w:val="0"/>
                <w:sz w:val="22"/>
              </w:rPr>
            </w:pPr>
            <w:r>
              <w:rPr>
                <w:rFonts w:hint="eastAsia" w:cs="宋体"/>
                <w:kern w:val="0"/>
                <w:sz w:val="22"/>
              </w:rPr>
              <w:t>8</w:t>
            </w:r>
          </w:p>
        </w:tc>
        <w:tc>
          <w:tcPr>
            <w:tcW w:w="212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付款</w:t>
            </w:r>
            <w:r>
              <w:rPr>
                <w:rFonts w:ascii="宋体" w:hAnsi="宋体" w:cs="宋体"/>
                <w:kern w:val="0"/>
                <w:sz w:val="22"/>
              </w:rPr>
              <w:t>方式</w:t>
            </w:r>
          </w:p>
        </w:tc>
        <w:tc>
          <w:tcPr>
            <w:tcW w:w="5735" w:type="dxa"/>
            <w:tcBorders>
              <w:top w:val="single" w:color="auto" w:sz="4" w:space="0"/>
              <w:left w:val="nil"/>
              <w:bottom w:val="single" w:color="auto" w:sz="4" w:space="0"/>
              <w:right w:val="single" w:color="auto" w:sz="4" w:space="0"/>
            </w:tcBorders>
            <w:shd w:val="clear" w:color="000000" w:fill="FFFFFF"/>
            <w:vAlign w:val="center"/>
          </w:tcPr>
          <w:p>
            <w:pPr>
              <w:widowControl/>
              <w:rPr>
                <w:rFonts w:ascii="宋体" w:hAnsi="宋体" w:cs="宋体"/>
                <w:sz w:val="22"/>
              </w:rPr>
            </w:pPr>
            <w:r>
              <w:rPr>
                <w:rFonts w:hint="eastAsia" w:asciiTheme="minorEastAsia" w:hAnsiTheme="minorEastAsia"/>
                <w:color w:val="000000" w:themeColor="text1"/>
                <w:sz w:val="24"/>
                <w14:textFill>
                  <w14:solidFill>
                    <w14:schemeClr w14:val="tx1"/>
                  </w14:solidFill>
                </w14:textFill>
              </w:rPr>
              <w:t>无法接受后付款方式的供应商不得随意参与报价，否则将纳入考评。</w:t>
            </w:r>
          </w:p>
        </w:tc>
      </w:tr>
      <w:tr>
        <w:tblPrEx>
          <w:tblLayout w:type="fixed"/>
          <w:tblCellMar>
            <w:top w:w="0" w:type="dxa"/>
            <w:left w:w="108" w:type="dxa"/>
            <w:bottom w:w="0" w:type="dxa"/>
            <w:right w:w="108" w:type="dxa"/>
          </w:tblCellMar>
        </w:tblPrEx>
        <w:trPr>
          <w:trHeight w:val="615" w:hRule="atLeast"/>
        </w:trPr>
        <w:tc>
          <w:tcPr>
            <w:tcW w:w="94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kern w:val="0"/>
                <w:sz w:val="22"/>
              </w:rPr>
            </w:pPr>
            <w:r>
              <w:rPr>
                <w:rFonts w:hint="eastAsia" w:cs="宋体"/>
                <w:kern w:val="0"/>
                <w:sz w:val="22"/>
              </w:rPr>
              <w:t>9</w:t>
            </w:r>
          </w:p>
        </w:tc>
        <w:tc>
          <w:tcPr>
            <w:tcW w:w="2128"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color w:val="FF0000"/>
                <w:kern w:val="0"/>
                <w:sz w:val="22"/>
              </w:rPr>
              <w:t>交货期限(物资)</w:t>
            </w:r>
            <w:r>
              <w:rPr>
                <w:rFonts w:hint="eastAsia" w:ascii="宋体" w:hAnsi="宋体" w:cs="宋体"/>
                <w:kern w:val="0"/>
                <w:sz w:val="22"/>
              </w:rPr>
              <w:t>/</w:t>
            </w:r>
          </w:p>
          <w:p>
            <w:pPr>
              <w:widowControl/>
              <w:jc w:val="left"/>
              <w:rPr>
                <w:rFonts w:ascii="宋体" w:hAnsi="宋体" w:cs="宋体"/>
                <w:kern w:val="0"/>
                <w:sz w:val="22"/>
              </w:rPr>
            </w:pPr>
            <w:r>
              <w:rPr>
                <w:rFonts w:hint="eastAsia" w:ascii="宋体" w:hAnsi="宋体" w:cs="宋体"/>
                <w:color w:val="FF0000"/>
                <w:kern w:val="0"/>
                <w:sz w:val="22"/>
              </w:rPr>
              <w:t>工期(工程服务)</w:t>
            </w:r>
          </w:p>
        </w:tc>
        <w:tc>
          <w:tcPr>
            <w:tcW w:w="5735" w:type="dxa"/>
            <w:tcBorders>
              <w:top w:val="single" w:color="auto" w:sz="4" w:space="0"/>
              <w:left w:val="nil"/>
              <w:bottom w:val="single" w:color="auto" w:sz="4" w:space="0"/>
              <w:right w:val="single" w:color="auto" w:sz="4" w:space="0"/>
            </w:tcBorders>
            <w:shd w:val="clear" w:color="000000" w:fill="FFFFFF"/>
            <w:vAlign w:val="center"/>
          </w:tcPr>
          <w:p>
            <w:pPr>
              <w:widowControl/>
              <w:rPr>
                <w:rFonts w:ascii="宋体" w:hAnsi="宋体" w:cs="宋体"/>
                <w:sz w:val="22"/>
              </w:rPr>
            </w:pPr>
            <w:r>
              <w:rPr>
                <w:rFonts w:hint="eastAsia" w:ascii="宋体" w:hAnsi="宋体" w:cs="宋体"/>
                <w:kern w:val="0"/>
                <w:sz w:val="22"/>
              </w:rPr>
              <w:t>要求报价</w:t>
            </w:r>
            <w:r>
              <w:rPr>
                <w:rFonts w:ascii="宋体" w:hAnsi="宋体" w:cs="宋体"/>
                <w:kern w:val="0"/>
                <w:sz w:val="22"/>
              </w:rPr>
              <w:t>方必须满足合同</w:t>
            </w:r>
            <w:r>
              <w:rPr>
                <w:rFonts w:hint="eastAsia" w:ascii="宋体" w:hAnsi="宋体" w:cs="宋体"/>
                <w:kern w:val="0"/>
                <w:sz w:val="22"/>
              </w:rPr>
              <w:t>签订</w:t>
            </w:r>
            <w:r>
              <w:rPr>
                <w:rFonts w:ascii="宋体" w:hAnsi="宋体" w:cs="宋体"/>
                <w:kern w:val="0"/>
                <w:sz w:val="22"/>
              </w:rPr>
              <w:t>后</w:t>
            </w:r>
            <w:r>
              <w:rPr>
                <w:rFonts w:hint="eastAsia" w:ascii="宋体" w:hAnsi="宋体" w:cs="宋体"/>
                <w:color w:val="FF0000"/>
                <w:kern w:val="0"/>
                <w:sz w:val="22"/>
                <w:u w:val="single"/>
              </w:rPr>
              <w:t>10</w:t>
            </w:r>
            <w:r>
              <w:rPr>
                <w:rFonts w:ascii="宋体" w:hAnsi="宋体" w:cs="宋体"/>
                <w:color w:val="FF0000"/>
                <w:kern w:val="0"/>
                <w:sz w:val="22"/>
                <w:u w:val="single"/>
              </w:rPr>
              <w:t>日</w:t>
            </w:r>
            <w:r>
              <w:rPr>
                <w:rFonts w:hint="eastAsia" w:ascii="宋体" w:hAnsi="宋体" w:cs="宋体"/>
                <w:color w:val="0070C0"/>
                <w:kern w:val="0"/>
                <w:sz w:val="22"/>
              </w:rPr>
              <w:t>竣工(工程服务)，</w:t>
            </w:r>
            <w:r>
              <w:rPr>
                <w:rFonts w:ascii="宋体" w:hAnsi="宋体" w:cs="宋体"/>
                <w:color w:val="0070C0"/>
                <w:kern w:val="0"/>
                <w:sz w:val="22"/>
              </w:rPr>
              <w:t>如不能满足严禁</w:t>
            </w:r>
            <w:r>
              <w:rPr>
                <w:rFonts w:hint="eastAsia" w:ascii="宋体" w:hAnsi="宋体" w:cs="宋体"/>
                <w:color w:val="0070C0"/>
                <w:kern w:val="0"/>
                <w:sz w:val="22"/>
              </w:rPr>
              <w:t>参与</w:t>
            </w:r>
            <w:r>
              <w:rPr>
                <w:rFonts w:ascii="宋体" w:hAnsi="宋体" w:cs="宋体"/>
                <w:color w:val="0070C0"/>
                <w:kern w:val="0"/>
                <w:sz w:val="22"/>
              </w:rPr>
              <w:t>报价，否则</w:t>
            </w:r>
            <w:r>
              <w:rPr>
                <w:rFonts w:hint="eastAsia" w:ascii="宋体" w:hAnsi="宋体" w:cs="宋体"/>
                <w:color w:val="0070C0"/>
                <w:kern w:val="0"/>
                <w:sz w:val="22"/>
              </w:rPr>
              <w:t>终止</w:t>
            </w:r>
            <w:r>
              <w:rPr>
                <w:rFonts w:ascii="宋体" w:hAnsi="宋体" w:cs="宋体"/>
                <w:color w:val="0070C0"/>
                <w:kern w:val="0"/>
                <w:sz w:val="22"/>
              </w:rPr>
              <w:t>合同并</w:t>
            </w:r>
            <w:r>
              <w:rPr>
                <w:rFonts w:hint="eastAsia" w:ascii="宋体" w:hAnsi="宋体" w:cs="宋体"/>
                <w:color w:val="0070C0"/>
                <w:kern w:val="0"/>
                <w:sz w:val="22"/>
              </w:rPr>
              <w:t>纳入</w:t>
            </w:r>
            <w:r>
              <w:rPr>
                <w:rFonts w:ascii="宋体" w:hAnsi="宋体" w:cs="宋体"/>
                <w:color w:val="0070C0"/>
                <w:kern w:val="0"/>
                <w:sz w:val="22"/>
              </w:rPr>
              <w:t>供应商考评</w:t>
            </w:r>
            <w:r>
              <w:rPr>
                <w:rFonts w:hint="eastAsia" w:ascii="宋体" w:hAnsi="宋体" w:cs="宋体"/>
                <w:color w:val="0070C0"/>
                <w:kern w:val="0"/>
                <w:sz w:val="22"/>
              </w:rPr>
              <w:t>。</w:t>
            </w:r>
          </w:p>
        </w:tc>
      </w:tr>
      <w:tr>
        <w:tblPrEx>
          <w:tblLayout w:type="fixed"/>
          <w:tblCellMar>
            <w:top w:w="0" w:type="dxa"/>
            <w:left w:w="108" w:type="dxa"/>
            <w:bottom w:w="0" w:type="dxa"/>
            <w:right w:w="108" w:type="dxa"/>
          </w:tblCellMar>
        </w:tblPrEx>
        <w:trPr>
          <w:trHeight w:val="345" w:hRule="atLeast"/>
        </w:trPr>
        <w:tc>
          <w:tcPr>
            <w:tcW w:w="945" w:type="dxa"/>
            <w:tcBorders>
              <w:top w:val="single" w:color="auto" w:sz="4" w:space="0"/>
              <w:left w:val="single" w:color="auto" w:sz="4" w:space="0"/>
              <w:right w:val="single" w:color="auto" w:sz="4" w:space="0"/>
            </w:tcBorders>
            <w:shd w:val="clear" w:color="000000" w:fill="FFFFFF"/>
            <w:vAlign w:val="center"/>
          </w:tcPr>
          <w:p>
            <w:pPr>
              <w:widowControl/>
              <w:jc w:val="center"/>
              <w:rPr>
                <w:rFonts w:ascii="宋体" w:hAnsi="宋体" w:cs="宋体"/>
                <w:kern w:val="0"/>
                <w:sz w:val="22"/>
              </w:rPr>
            </w:pPr>
            <w:r>
              <w:rPr>
                <w:rFonts w:cs="宋体"/>
                <w:kern w:val="0"/>
                <w:sz w:val="22"/>
              </w:rPr>
              <w:t>10</w:t>
            </w:r>
          </w:p>
        </w:tc>
        <w:tc>
          <w:tcPr>
            <w:tcW w:w="2128" w:type="dxa"/>
            <w:tcBorders>
              <w:top w:val="single" w:color="auto" w:sz="4" w:space="0"/>
              <w:left w:val="nil"/>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报价评价原则</w:t>
            </w:r>
          </w:p>
        </w:tc>
        <w:tc>
          <w:tcPr>
            <w:tcW w:w="5735" w:type="dxa"/>
            <w:tcBorders>
              <w:top w:val="single" w:color="auto" w:sz="4" w:space="0"/>
              <w:left w:val="nil"/>
              <w:right w:val="single" w:color="auto" w:sz="4" w:space="0"/>
            </w:tcBorders>
            <w:shd w:val="clear" w:color="000000" w:fill="FFFFFF"/>
            <w:vAlign w:val="center"/>
          </w:tcPr>
          <w:p>
            <w:pPr>
              <w:widowControl/>
              <w:rPr>
                <w:rFonts w:ascii="宋体" w:hAnsi="宋体" w:cs="宋体"/>
                <w:sz w:val="22"/>
              </w:rPr>
            </w:pPr>
            <w:r>
              <w:rPr>
                <w:rFonts w:hint="eastAsia" w:ascii="宋体" w:hAnsi="宋体" w:cs="宋体"/>
                <w:color w:val="FF0000"/>
                <w:kern w:val="0"/>
                <w:sz w:val="22"/>
              </w:rPr>
              <w:t>经评审的最低价法</w:t>
            </w:r>
          </w:p>
        </w:tc>
      </w:tr>
      <w:tr>
        <w:tblPrEx>
          <w:tblLayout w:type="fixed"/>
          <w:tblCellMar>
            <w:top w:w="0" w:type="dxa"/>
            <w:left w:w="108" w:type="dxa"/>
            <w:bottom w:w="0" w:type="dxa"/>
            <w:right w:w="108" w:type="dxa"/>
          </w:tblCellMar>
        </w:tblPrEx>
        <w:trPr>
          <w:trHeight w:val="1510" w:hRule="atLeast"/>
        </w:trPr>
        <w:tc>
          <w:tcPr>
            <w:tcW w:w="94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kern w:val="0"/>
                <w:sz w:val="22"/>
              </w:rPr>
            </w:pPr>
            <w:r>
              <w:rPr>
                <w:rFonts w:cs="宋体"/>
                <w:kern w:val="0"/>
                <w:sz w:val="22"/>
              </w:rPr>
              <w:t>11</w:t>
            </w:r>
          </w:p>
        </w:tc>
        <w:tc>
          <w:tcPr>
            <w:tcW w:w="2128" w:type="dxa"/>
            <w:tcBorders>
              <w:top w:val="single" w:color="auto" w:sz="4" w:space="0"/>
              <w:left w:val="nil"/>
              <w:bottom w:val="single" w:color="auto" w:sz="4" w:space="0"/>
              <w:right w:val="nil"/>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合同主要条款</w:t>
            </w:r>
          </w:p>
        </w:tc>
        <w:tc>
          <w:tcPr>
            <w:tcW w:w="573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(1) 合同范围；</w:t>
            </w:r>
          </w:p>
          <w:p>
            <w:pPr>
              <w:widowControl/>
              <w:jc w:val="left"/>
              <w:rPr>
                <w:rFonts w:ascii="宋体" w:hAnsi="宋体" w:cs="宋体"/>
                <w:kern w:val="0"/>
                <w:sz w:val="22"/>
              </w:rPr>
            </w:pPr>
            <w:r>
              <w:rPr>
                <w:rFonts w:hint="eastAsia" w:ascii="宋体" w:hAnsi="宋体" w:cs="宋体"/>
                <w:kern w:val="0"/>
                <w:sz w:val="22"/>
              </w:rPr>
              <w:t>(2) 合同价格；</w:t>
            </w:r>
          </w:p>
          <w:p>
            <w:pPr>
              <w:widowControl/>
              <w:jc w:val="left"/>
              <w:rPr>
                <w:rFonts w:ascii="宋体" w:hAnsi="宋体" w:cs="宋体"/>
                <w:kern w:val="0"/>
                <w:sz w:val="22"/>
              </w:rPr>
            </w:pPr>
            <w:r>
              <w:rPr>
                <w:rFonts w:hint="eastAsia" w:ascii="宋体" w:hAnsi="宋体" w:cs="宋体"/>
                <w:kern w:val="0"/>
                <w:sz w:val="22"/>
              </w:rPr>
              <w:t>(3)</w:t>
            </w:r>
            <w:r>
              <w:rPr>
                <w:rFonts w:ascii="宋体" w:hAnsi="宋体" w:cs="宋体"/>
                <w:kern w:val="0"/>
                <w:sz w:val="22"/>
              </w:rPr>
              <w:t xml:space="preserve"> </w:t>
            </w:r>
            <w:r>
              <w:rPr>
                <w:rFonts w:hint="eastAsia" w:ascii="宋体" w:hAnsi="宋体" w:cs="宋体"/>
                <w:color w:val="00B0F0"/>
                <w:kern w:val="0"/>
                <w:sz w:val="22"/>
              </w:rPr>
              <w:t>合同后</w:t>
            </w:r>
            <w:r>
              <w:rPr>
                <w:rFonts w:ascii="宋体" w:hAnsi="宋体" w:cs="宋体"/>
                <w:color w:val="00B0F0"/>
                <w:kern w:val="0"/>
                <w:sz w:val="22"/>
              </w:rPr>
              <w:t>付款</w:t>
            </w:r>
            <w:r>
              <w:rPr>
                <w:rFonts w:ascii="宋体" w:hAnsi="宋体" w:cs="宋体"/>
                <w:kern w:val="0"/>
                <w:sz w:val="22"/>
              </w:rPr>
              <w:t>；</w:t>
            </w:r>
          </w:p>
          <w:p>
            <w:pPr>
              <w:widowControl/>
              <w:jc w:val="left"/>
              <w:rPr>
                <w:rFonts w:ascii="宋体" w:hAnsi="宋体" w:cs="宋体"/>
                <w:kern w:val="0"/>
                <w:sz w:val="22"/>
              </w:rPr>
            </w:pPr>
            <w:r>
              <w:rPr>
                <w:rFonts w:hint="eastAsia" w:ascii="宋体" w:hAnsi="宋体" w:cs="宋体"/>
                <w:kern w:val="0"/>
                <w:sz w:val="22"/>
              </w:rPr>
              <w:t>(4) 服务期；</w:t>
            </w:r>
          </w:p>
          <w:p>
            <w:pPr>
              <w:widowControl/>
              <w:jc w:val="left"/>
              <w:rPr>
                <w:rFonts w:ascii="宋体" w:hAnsi="宋体" w:cs="宋体"/>
                <w:sz w:val="22"/>
              </w:rPr>
            </w:pPr>
            <w:r>
              <w:rPr>
                <w:rFonts w:hint="eastAsia" w:ascii="宋体" w:hAnsi="宋体" w:cs="宋体"/>
                <w:kern w:val="0"/>
                <w:sz w:val="22"/>
              </w:rPr>
              <w:t>(5) 其他内容</w:t>
            </w:r>
          </w:p>
        </w:tc>
      </w:tr>
    </w:tbl>
    <w:p>
      <w:pPr>
        <w:pageBreakBefore/>
        <w:spacing w:line="360" w:lineRule="auto"/>
        <w:jc w:val="center"/>
        <w:rPr>
          <w:rFonts w:ascii="黑体" w:hAnsi="黑体" w:eastAsia="黑体"/>
          <w:sz w:val="40"/>
          <w:szCs w:val="40"/>
        </w:rPr>
      </w:pPr>
      <w:r>
        <w:rPr>
          <w:rFonts w:hint="eastAsia" w:ascii="黑体" w:hAnsi="黑体" w:eastAsia="黑体"/>
          <w:sz w:val="40"/>
          <w:szCs w:val="40"/>
        </w:rPr>
        <w:t>第二章 采购项目概况</w:t>
      </w:r>
    </w:p>
    <w:p>
      <w:pPr>
        <w:spacing w:line="360" w:lineRule="auto"/>
        <w:ind w:firstLine="482" w:firstLineChars="200"/>
        <w:rPr>
          <w:rFonts w:ascii="宋体" w:hAnsi="宋体" w:cs="宋体"/>
          <w:b/>
          <w:bCs/>
          <w:sz w:val="24"/>
          <w:szCs w:val="24"/>
        </w:rPr>
      </w:pPr>
      <w:r>
        <w:rPr>
          <w:rFonts w:hint="eastAsia" w:ascii="宋体" w:hAnsi="宋体" w:cs="宋体"/>
          <w:b/>
          <w:bCs/>
          <w:sz w:val="24"/>
          <w:szCs w:val="24"/>
        </w:rPr>
        <w:t>一、工程概况</w:t>
      </w:r>
    </w:p>
    <w:p>
      <w:pPr>
        <w:spacing w:line="360" w:lineRule="auto"/>
        <w:ind w:firstLine="480" w:firstLineChars="200"/>
        <w:rPr>
          <w:rFonts w:ascii="宋体" w:hAnsi="宋体" w:cs="宋体"/>
          <w:sz w:val="24"/>
          <w:szCs w:val="24"/>
        </w:rPr>
      </w:pPr>
      <w:r>
        <w:rPr>
          <w:rFonts w:hint="eastAsia" w:ascii="宋体" w:hAnsi="宋体" w:cs="宋体"/>
          <w:sz w:val="24"/>
          <w:szCs w:val="24"/>
        </w:rPr>
        <w:t>为庆祝共青团成立100周年、展示北方青年勇但责任、技术创新、奉献社会、孝老爱亲等优良品质，策划拍摄制作一部15分钟左右专题片（另须提供拍摄素材片且片长不少于50分钟）。</w:t>
      </w:r>
    </w:p>
    <w:p>
      <w:pPr>
        <w:spacing w:line="360" w:lineRule="auto"/>
        <w:ind w:firstLine="482" w:firstLineChars="200"/>
        <w:rPr>
          <w:rFonts w:ascii="宋体" w:hAnsi="宋体" w:cs="宋体"/>
          <w:sz w:val="24"/>
          <w:szCs w:val="24"/>
        </w:rPr>
      </w:pPr>
      <w:r>
        <w:rPr>
          <w:rFonts w:hint="eastAsia" w:ascii="宋体" w:hAnsi="宋体" w:cs="宋体"/>
          <w:b/>
          <w:bCs/>
          <w:sz w:val="24"/>
          <w:szCs w:val="24"/>
        </w:rPr>
        <w:t>二、项目概况</w:t>
      </w:r>
    </w:p>
    <w:p>
      <w:pPr>
        <w:spacing w:line="360" w:lineRule="auto"/>
        <w:ind w:firstLine="480" w:firstLineChars="200"/>
        <w:rPr>
          <w:rFonts w:ascii="宋体" w:hAnsi="宋体" w:cs="宋体"/>
          <w:sz w:val="24"/>
          <w:szCs w:val="24"/>
        </w:rPr>
      </w:pPr>
      <w:r>
        <w:rPr>
          <w:rFonts w:hint="eastAsia" w:ascii="宋体" w:hAnsi="宋体" w:cs="宋体"/>
          <w:sz w:val="24"/>
          <w:szCs w:val="24"/>
        </w:rPr>
        <w:t>项目名称：北方联合电力有限责任公司建团100周年宣传片制作。</w:t>
      </w:r>
    </w:p>
    <w:p>
      <w:pPr>
        <w:spacing w:line="360" w:lineRule="auto"/>
        <w:ind w:firstLine="480" w:firstLineChars="200"/>
        <w:rPr>
          <w:rFonts w:ascii="宋体" w:hAnsi="宋体" w:cs="宋体"/>
          <w:sz w:val="24"/>
          <w:szCs w:val="24"/>
        </w:rPr>
      </w:pPr>
      <w:r>
        <w:rPr>
          <w:rFonts w:hint="eastAsia" w:ascii="宋体" w:hAnsi="宋体" w:cs="宋体"/>
          <w:sz w:val="24"/>
          <w:szCs w:val="24"/>
        </w:rPr>
        <w:t>项目内容：多层次、多角度展示北方公司团青工作和青年职工的精神风貌，宣传片摄制涉及到公司所属基层单位有：</w:t>
      </w:r>
    </w:p>
    <w:p>
      <w:pPr>
        <w:numPr>
          <w:ilvl w:val="0"/>
          <w:numId w:val="1"/>
        </w:numPr>
        <w:spacing w:line="360" w:lineRule="auto"/>
        <w:ind w:firstLine="560"/>
        <w:rPr>
          <w:rFonts w:ascii="宋体" w:hAnsi="宋体" w:cs="宋体"/>
          <w:sz w:val="24"/>
          <w:szCs w:val="24"/>
        </w:rPr>
      </w:pPr>
      <w:r>
        <w:rPr>
          <w:rFonts w:hint="eastAsia" w:ascii="宋体" w:hAnsi="宋体" w:cs="宋体"/>
          <w:sz w:val="24"/>
          <w:szCs w:val="24"/>
        </w:rPr>
        <w:t>北方公司本部(地址：呼和浩特市）</w:t>
      </w:r>
    </w:p>
    <w:p>
      <w:pPr>
        <w:numPr>
          <w:ilvl w:val="0"/>
          <w:numId w:val="1"/>
        </w:numPr>
        <w:spacing w:line="360" w:lineRule="auto"/>
        <w:ind w:firstLine="560"/>
        <w:rPr>
          <w:rFonts w:ascii="宋体" w:hAnsi="宋体" w:cs="宋体"/>
          <w:sz w:val="24"/>
          <w:szCs w:val="24"/>
        </w:rPr>
      </w:pPr>
      <w:r>
        <w:rPr>
          <w:rFonts w:hint="eastAsia" w:ascii="宋体" w:hAnsi="宋体" w:cs="宋体"/>
          <w:sz w:val="24"/>
          <w:szCs w:val="24"/>
        </w:rPr>
        <w:t>蒙华电公司(地址：呼和浩特市）</w:t>
      </w:r>
    </w:p>
    <w:p>
      <w:pPr>
        <w:numPr>
          <w:ilvl w:val="0"/>
          <w:numId w:val="1"/>
        </w:numPr>
        <w:spacing w:line="360" w:lineRule="auto"/>
        <w:ind w:firstLine="560"/>
        <w:rPr>
          <w:rFonts w:ascii="宋体" w:hAnsi="宋体" w:cs="宋体"/>
          <w:sz w:val="24"/>
          <w:szCs w:val="24"/>
        </w:rPr>
      </w:pPr>
      <w:r>
        <w:rPr>
          <w:rFonts w:hint="eastAsia" w:ascii="宋体" w:hAnsi="宋体" w:cs="宋体"/>
          <w:sz w:val="24"/>
          <w:szCs w:val="24"/>
        </w:rPr>
        <w:t>上都发电公司（锡林郭勒正蓝旗）</w:t>
      </w:r>
    </w:p>
    <w:p>
      <w:pPr>
        <w:numPr>
          <w:ilvl w:val="0"/>
          <w:numId w:val="1"/>
        </w:numPr>
        <w:spacing w:line="360" w:lineRule="auto"/>
        <w:ind w:firstLine="560"/>
        <w:rPr>
          <w:rFonts w:ascii="宋体" w:hAnsi="宋体" w:cs="宋体"/>
          <w:sz w:val="24"/>
          <w:szCs w:val="24"/>
        </w:rPr>
      </w:pPr>
      <w:r>
        <w:rPr>
          <w:rFonts w:hint="eastAsia" w:ascii="宋体" w:hAnsi="宋体" w:cs="宋体"/>
          <w:sz w:val="24"/>
          <w:szCs w:val="24"/>
        </w:rPr>
        <w:t>达拉特发电厂（地址：鄂尔多斯达拉特旗）</w:t>
      </w:r>
    </w:p>
    <w:p>
      <w:pPr>
        <w:numPr>
          <w:ilvl w:val="0"/>
          <w:numId w:val="1"/>
        </w:numPr>
        <w:spacing w:line="360" w:lineRule="auto"/>
        <w:ind w:firstLine="560"/>
        <w:rPr>
          <w:rFonts w:ascii="宋体" w:hAnsi="宋体" w:cs="宋体"/>
          <w:sz w:val="24"/>
          <w:szCs w:val="24"/>
        </w:rPr>
      </w:pPr>
      <w:r>
        <w:rPr>
          <w:rFonts w:hint="eastAsia" w:ascii="宋体" w:hAnsi="宋体" w:cs="宋体"/>
          <w:sz w:val="24"/>
          <w:szCs w:val="24"/>
        </w:rPr>
        <w:t>魏家峁煤电公司（地址：准格尔旗）</w:t>
      </w:r>
    </w:p>
    <w:p>
      <w:pPr>
        <w:numPr>
          <w:ilvl w:val="0"/>
          <w:numId w:val="1"/>
        </w:numPr>
        <w:spacing w:line="360" w:lineRule="auto"/>
        <w:ind w:firstLine="560"/>
        <w:rPr>
          <w:rFonts w:ascii="宋体" w:hAnsi="宋体" w:cs="宋体"/>
          <w:sz w:val="24"/>
          <w:szCs w:val="24"/>
        </w:rPr>
      </w:pPr>
      <w:r>
        <w:rPr>
          <w:rFonts w:hint="eastAsia" w:ascii="宋体" w:hAnsi="宋体" w:cs="宋体"/>
          <w:sz w:val="24"/>
          <w:szCs w:val="24"/>
        </w:rPr>
        <w:t>高头窑煤矿（地址：达拉特旗）</w:t>
      </w:r>
    </w:p>
    <w:p>
      <w:pPr>
        <w:numPr>
          <w:ilvl w:val="0"/>
          <w:numId w:val="1"/>
        </w:numPr>
        <w:spacing w:line="360" w:lineRule="auto"/>
        <w:ind w:firstLine="560"/>
        <w:rPr>
          <w:rFonts w:ascii="宋体" w:hAnsi="宋体" w:cs="宋体"/>
          <w:sz w:val="24"/>
          <w:szCs w:val="24"/>
        </w:rPr>
      </w:pPr>
      <w:r>
        <w:rPr>
          <w:rFonts w:hint="eastAsia" w:ascii="宋体" w:hAnsi="宋体" w:cs="宋体"/>
          <w:sz w:val="24"/>
          <w:szCs w:val="24"/>
        </w:rPr>
        <w:t>新能源公司（地址：锡林浩特市）</w:t>
      </w:r>
    </w:p>
    <w:p>
      <w:pPr>
        <w:numPr>
          <w:ilvl w:val="0"/>
          <w:numId w:val="1"/>
        </w:numPr>
        <w:spacing w:line="360" w:lineRule="auto"/>
        <w:ind w:firstLine="560"/>
        <w:rPr>
          <w:rFonts w:ascii="宋体" w:hAnsi="宋体" w:cs="宋体"/>
          <w:sz w:val="24"/>
          <w:szCs w:val="24"/>
        </w:rPr>
      </w:pPr>
      <w:r>
        <w:rPr>
          <w:rFonts w:hint="eastAsia" w:ascii="宋体" w:hAnsi="宋体" w:cs="宋体"/>
          <w:sz w:val="24"/>
          <w:szCs w:val="24"/>
        </w:rPr>
        <w:t>呼和浩特热电厂、金桥热电厂（地址：呼和浩特市）</w:t>
      </w:r>
    </w:p>
    <w:p>
      <w:pPr>
        <w:numPr>
          <w:ilvl w:val="0"/>
          <w:numId w:val="1"/>
        </w:numPr>
        <w:spacing w:line="360" w:lineRule="auto"/>
        <w:ind w:firstLine="560"/>
        <w:rPr>
          <w:rFonts w:ascii="宋体" w:hAnsi="宋体" w:cs="宋体"/>
          <w:sz w:val="24"/>
          <w:szCs w:val="24"/>
        </w:rPr>
      </w:pPr>
      <w:r>
        <w:rPr>
          <w:rFonts w:hint="eastAsia" w:ascii="宋体" w:hAnsi="宋体" w:cs="宋体"/>
          <w:sz w:val="24"/>
          <w:szCs w:val="24"/>
        </w:rPr>
        <w:t>海勃湾发电厂（地址：乌海市）</w:t>
      </w:r>
    </w:p>
    <w:p>
      <w:pPr>
        <w:numPr>
          <w:ilvl w:val="0"/>
          <w:numId w:val="1"/>
        </w:numPr>
        <w:spacing w:line="360" w:lineRule="auto"/>
        <w:ind w:firstLine="560"/>
        <w:rPr>
          <w:rFonts w:ascii="宋体" w:hAnsi="宋体" w:cs="宋体"/>
          <w:sz w:val="24"/>
          <w:szCs w:val="24"/>
        </w:rPr>
      </w:pPr>
      <w:r>
        <w:rPr>
          <w:rFonts w:hint="eastAsia" w:ascii="宋体" w:hAnsi="宋体" w:cs="宋体"/>
          <w:sz w:val="24"/>
          <w:szCs w:val="24"/>
        </w:rPr>
        <w:t>包头二电厂（包头市）</w:t>
      </w:r>
    </w:p>
    <w:p>
      <w:pPr>
        <w:numPr>
          <w:ilvl w:val="0"/>
          <w:numId w:val="1"/>
        </w:numPr>
        <w:spacing w:line="360" w:lineRule="auto"/>
        <w:ind w:firstLine="560"/>
        <w:rPr>
          <w:rFonts w:ascii="宋体" w:hAnsi="宋体" w:cs="宋体"/>
          <w:sz w:val="24"/>
          <w:szCs w:val="24"/>
        </w:rPr>
      </w:pPr>
      <w:r>
        <w:rPr>
          <w:rFonts w:hint="eastAsia" w:ascii="宋体" w:hAnsi="宋体" w:cs="宋体"/>
          <w:sz w:val="24"/>
          <w:szCs w:val="24"/>
        </w:rPr>
        <w:t>北方公司（呼和浩特市）</w:t>
      </w:r>
    </w:p>
    <w:p>
      <w:pPr>
        <w:numPr>
          <w:ilvl w:val="0"/>
          <w:numId w:val="1"/>
        </w:numPr>
        <w:spacing w:line="360" w:lineRule="auto"/>
        <w:ind w:firstLine="560"/>
        <w:rPr>
          <w:rFonts w:ascii="宋体" w:hAnsi="宋体" w:cs="宋体"/>
          <w:sz w:val="24"/>
          <w:szCs w:val="24"/>
        </w:rPr>
      </w:pPr>
      <w:r>
        <w:rPr>
          <w:rFonts w:hint="eastAsia" w:ascii="宋体" w:hAnsi="宋体" w:cs="宋体"/>
          <w:sz w:val="24"/>
          <w:szCs w:val="24"/>
        </w:rPr>
        <w:t>兴安热电公司（乌兰浩特市）</w:t>
      </w:r>
    </w:p>
    <w:p>
      <w:pPr>
        <w:numPr>
          <w:ilvl w:val="0"/>
          <w:numId w:val="1"/>
        </w:numPr>
        <w:spacing w:line="360" w:lineRule="auto"/>
        <w:ind w:firstLine="560"/>
        <w:rPr>
          <w:rFonts w:ascii="宋体" w:hAnsi="宋体" w:cs="宋体"/>
          <w:sz w:val="24"/>
          <w:szCs w:val="24"/>
        </w:rPr>
      </w:pPr>
      <w:r>
        <w:rPr>
          <w:rFonts w:hint="eastAsia" w:ascii="宋体" w:hAnsi="宋体" w:cs="宋体"/>
          <w:sz w:val="24"/>
          <w:szCs w:val="24"/>
        </w:rPr>
        <w:t>运销公司、蒙西公司等单位。</w:t>
      </w:r>
    </w:p>
    <w:p>
      <w:pPr>
        <w:pStyle w:val="12"/>
        <w:spacing w:line="360" w:lineRule="auto"/>
        <w:rPr>
          <w:rFonts w:ascii="宋体" w:hAnsi="宋体" w:cs="宋体"/>
          <w:sz w:val="24"/>
        </w:rPr>
      </w:pPr>
    </w:p>
    <w:p>
      <w:pPr>
        <w:pStyle w:val="12"/>
        <w:spacing w:line="360" w:lineRule="auto"/>
        <w:rPr>
          <w:rFonts w:ascii="宋体" w:hAnsi="宋体" w:cs="宋体"/>
          <w:sz w:val="24"/>
        </w:rPr>
      </w:pPr>
    </w:p>
    <w:p>
      <w:pPr>
        <w:pStyle w:val="12"/>
        <w:spacing w:line="360" w:lineRule="auto"/>
        <w:rPr>
          <w:rFonts w:ascii="宋体" w:hAnsi="宋体" w:cs="宋体"/>
          <w:sz w:val="24"/>
        </w:rPr>
      </w:pPr>
    </w:p>
    <w:p>
      <w:pPr>
        <w:pStyle w:val="12"/>
        <w:spacing w:line="360" w:lineRule="auto"/>
        <w:rPr>
          <w:rFonts w:ascii="宋体" w:hAnsi="宋体" w:cs="宋体"/>
          <w:sz w:val="24"/>
        </w:rPr>
      </w:pPr>
    </w:p>
    <w:p>
      <w:pPr>
        <w:pStyle w:val="12"/>
        <w:spacing w:line="360" w:lineRule="auto"/>
        <w:rPr>
          <w:rFonts w:ascii="宋体" w:hAnsi="宋体" w:cs="宋体"/>
          <w:sz w:val="24"/>
        </w:rPr>
      </w:pPr>
    </w:p>
    <w:p>
      <w:pPr>
        <w:pStyle w:val="12"/>
        <w:spacing w:line="360" w:lineRule="auto"/>
        <w:rPr>
          <w:rFonts w:ascii="宋体" w:hAnsi="宋体" w:cs="宋体"/>
          <w:sz w:val="24"/>
        </w:rPr>
      </w:pPr>
    </w:p>
    <w:p>
      <w:pPr>
        <w:pStyle w:val="12"/>
        <w:spacing w:line="360" w:lineRule="auto"/>
        <w:rPr>
          <w:rFonts w:ascii="宋体" w:hAnsi="宋体" w:cs="宋体"/>
          <w:sz w:val="24"/>
        </w:rPr>
      </w:pPr>
    </w:p>
    <w:p>
      <w:pPr>
        <w:pStyle w:val="12"/>
        <w:jc w:val="center"/>
        <w:rPr>
          <w:rFonts w:ascii="黑体" w:hAnsi="黑体" w:eastAsia="黑体" w:cs="黑体"/>
          <w:sz w:val="40"/>
          <w:szCs w:val="40"/>
        </w:rPr>
      </w:pPr>
      <w:r>
        <w:rPr>
          <w:rFonts w:hint="eastAsia" w:ascii="黑体" w:hAnsi="黑体" w:eastAsia="黑体" w:cs="黑体"/>
          <w:sz w:val="40"/>
          <w:szCs w:val="40"/>
        </w:rPr>
        <w:t>第三章 供应商资格要求</w:t>
      </w:r>
    </w:p>
    <w:p>
      <w:pPr>
        <w:pStyle w:val="12"/>
        <w:spacing w:line="360" w:lineRule="auto"/>
        <w:ind w:firstLine="482" w:firstLineChars="200"/>
        <w:rPr>
          <w:rFonts w:ascii="黑体" w:hAnsi="黑体" w:eastAsia="黑体"/>
          <w:b/>
          <w:sz w:val="24"/>
        </w:rPr>
      </w:pPr>
      <w:r>
        <w:rPr>
          <w:rFonts w:hint="eastAsia" w:ascii="黑体" w:hAnsi="黑体" w:eastAsia="黑体"/>
          <w:b/>
          <w:sz w:val="24"/>
        </w:rPr>
        <w:t>一、通用条款</w:t>
      </w:r>
    </w:p>
    <w:p>
      <w:pPr>
        <w:pStyle w:val="12"/>
        <w:spacing w:line="360" w:lineRule="auto"/>
        <w:ind w:firstLine="480" w:firstLineChars="200"/>
        <w:rPr>
          <w:rFonts w:asciiTheme="minorEastAsia" w:hAnsiTheme="minorEastAsia"/>
          <w:sz w:val="24"/>
        </w:rPr>
      </w:pPr>
      <w:r>
        <w:rPr>
          <w:rFonts w:hint="eastAsia" w:asciiTheme="minorEastAsia" w:hAnsiTheme="minorEastAsia"/>
          <w:sz w:val="24"/>
        </w:rPr>
        <w:t>(根据实际情况进行要求)</w:t>
      </w:r>
    </w:p>
    <w:p>
      <w:pPr>
        <w:pStyle w:val="12"/>
        <w:numPr>
          <w:ilvl w:val="0"/>
          <w:numId w:val="2"/>
        </w:numPr>
        <w:tabs>
          <w:tab w:val="left" w:pos="312"/>
        </w:tabs>
        <w:spacing w:line="360" w:lineRule="auto"/>
        <w:ind w:firstLine="480" w:firstLineChars="200"/>
        <w:rPr>
          <w:rFonts w:asciiTheme="minorEastAsia" w:hAnsiTheme="minorEastAsia"/>
          <w:sz w:val="24"/>
        </w:rPr>
      </w:pPr>
      <w:r>
        <w:rPr>
          <w:rFonts w:hint="eastAsia" w:asciiTheme="minorEastAsia" w:hAnsiTheme="minorEastAsia"/>
          <w:sz w:val="24"/>
        </w:rPr>
        <w:t>报价人必须</w:t>
      </w:r>
      <w:r>
        <w:rPr>
          <w:rFonts w:asciiTheme="minorEastAsia" w:hAnsiTheme="minorEastAsia"/>
          <w:sz w:val="24"/>
        </w:rPr>
        <w:t>具有中华人民共和国独立企业法人资格</w:t>
      </w:r>
      <w:r>
        <w:rPr>
          <w:rFonts w:hint="eastAsia" w:asciiTheme="minorEastAsia" w:hAnsiTheme="minorEastAsia"/>
          <w:sz w:val="24"/>
        </w:rPr>
        <w:t>；</w:t>
      </w:r>
    </w:p>
    <w:p>
      <w:pPr>
        <w:pStyle w:val="12"/>
        <w:spacing w:line="360" w:lineRule="auto"/>
        <w:ind w:firstLine="480" w:firstLineChars="200"/>
        <w:rPr>
          <w:rFonts w:asciiTheme="minorEastAsia" w:hAnsiTheme="minorEastAsia"/>
          <w:sz w:val="24"/>
        </w:rPr>
      </w:pPr>
      <w:r>
        <w:rPr>
          <w:rFonts w:hint="eastAsia" w:asciiTheme="minorEastAsia" w:hAnsiTheme="minorEastAsia"/>
          <w:sz w:val="24"/>
        </w:rPr>
        <w:t>2.具有良好的银行资信和商业信誉，未处于财产被接管、冻结、破产状态，未处于有关禁止经营的行政处罚期间；</w:t>
      </w:r>
    </w:p>
    <w:p>
      <w:pPr>
        <w:pStyle w:val="12"/>
        <w:spacing w:line="360" w:lineRule="auto"/>
        <w:ind w:firstLine="480" w:firstLineChars="200"/>
        <w:rPr>
          <w:rFonts w:asciiTheme="minorEastAsia" w:hAnsiTheme="minorEastAsia"/>
          <w:sz w:val="24"/>
        </w:rPr>
      </w:pPr>
      <w:r>
        <w:rPr>
          <w:rFonts w:hint="eastAsia" w:asciiTheme="minorEastAsia" w:hAnsiTheme="minorEastAsia"/>
          <w:sz w:val="24"/>
        </w:rPr>
        <w:t>3.单位负责人为同一人或者存在控股、管理关系的不同单位，不得同时参加此次报价；</w:t>
      </w:r>
    </w:p>
    <w:p>
      <w:pPr>
        <w:pStyle w:val="12"/>
        <w:spacing w:line="360" w:lineRule="auto"/>
        <w:ind w:firstLine="480" w:firstLineChars="200"/>
        <w:rPr>
          <w:rFonts w:asciiTheme="minorEastAsia" w:hAnsiTheme="minorEastAsia"/>
          <w:sz w:val="24"/>
        </w:rPr>
      </w:pPr>
      <w:r>
        <w:rPr>
          <w:rFonts w:hint="eastAsia" w:asciiTheme="minorEastAsia" w:hAnsiTheme="minorEastAsia"/>
          <w:sz w:val="24"/>
        </w:rPr>
        <w:t>4.不得处于人民法院“失信被执行人”名单和工商行政管理机关“严重违法失信企业”名单；</w:t>
      </w:r>
    </w:p>
    <w:p>
      <w:pPr>
        <w:pStyle w:val="12"/>
        <w:spacing w:line="360" w:lineRule="auto"/>
        <w:ind w:firstLine="480" w:firstLineChars="200"/>
        <w:rPr>
          <w:rFonts w:asciiTheme="minorEastAsia" w:hAnsiTheme="minorEastAsia"/>
          <w:sz w:val="24"/>
        </w:rPr>
      </w:pPr>
      <w:r>
        <w:rPr>
          <w:rFonts w:hint="eastAsia" w:asciiTheme="minorEastAsia" w:hAnsiTheme="minorEastAsia"/>
          <w:sz w:val="24"/>
        </w:rPr>
        <w:t>5.</w:t>
      </w:r>
      <w:r>
        <w:rPr>
          <w:rFonts w:hint="eastAsia" w:ascii="Arial" w:hAnsi="宋体" w:cs="Arial"/>
          <w:color w:val="000000"/>
          <w:sz w:val="24"/>
        </w:rPr>
        <w:t>报价方保障采购方在本次采购中涉及的任何因规定用途而使用的合同、设备、服务和文件等，不受第三方关于知识产权的侵权指控。如果发生任何第三方的侵权指控，采购方不承担任何法律及经济责任，完全由报价方与第三方交涉并使采购方免受由于第三方索赔从法律及经济责任上所造成的损害</w:t>
      </w:r>
      <w:r>
        <w:rPr>
          <w:rFonts w:hint="eastAsia" w:asciiTheme="minorEastAsia" w:hAnsiTheme="minorEastAsia"/>
          <w:sz w:val="24"/>
        </w:rPr>
        <w:t>；</w:t>
      </w:r>
    </w:p>
    <w:p>
      <w:pPr>
        <w:pStyle w:val="12"/>
        <w:spacing w:line="360" w:lineRule="auto"/>
        <w:ind w:firstLine="480" w:firstLineChars="200"/>
        <w:rPr>
          <w:rFonts w:asciiTheme="minorEastAsia" w:hAnsiTheme="minorEastAsia"/>
          <w:sz w:val="24"/>
        </w:rPr>
      </w:pPr>
      <w:r>
        <w:rPr>
          <w:rFonts w:hint="eastAsia" w:asciiTheme="minorEastAsia" w:hAnsiTheme="minorEastAsia"/>
          <w:sz w:val="24"/>
        </w:rPr>
        <w:t>6.不存在</w:t>
      </w:r>
      <w:r>
        <w:rPr>
          <w:rFonts w:asciiTheme="minorEastAsia" w:hAnsiTheme="minorEastAsia"/>
          <w:sz w:val="24"/>
        </w:rPr>
        <w:t>上传数据或响应文件的互联网协议地址（</w:t>
      </w:r>
      <w:r>
        <w:rPr>
          <w:rFonts w:hint="eastAsia" w:asciiTheme="minorEastAsia" w:hAnsiTheme="minorEastAsia"/>
          <w:sz w:val="24"/>
        </w:rPr>
        <w:t>IP地址</w:t>
      </w:r>
      <w:r>
        <w:rPr>
          <w:rFonts w:asciiTheme="minorEastAsia" w:hAnsiTheme="minorEastAsia"/>
          <w:sz w:val="24"/>
        </w:rPr>
        <w:t>）</w:t>
      </w:r>
      <w:r>
        <w:rPr>
          <w:rFonts w:hint="eastAsia" w:asciiTheme="minorEastAsia" w:hAnsiTheme="minorEastAsia"/>
          <w:sz w:val="24"/>
        </w:rPr>
        <w:t>信息</w:t>
      </w:r>
      <w:r>
        <w:rPr>
          <w:rFonts w:asciiTheme="minorEastAsia" w:hAnsiTheme="minorEastAsia"/>
          <w:sz w:val="24"/>
        </w:rPr>
        <w:t>检查一致的情况，否则将视为</w:t>
      </w:r>
      <w:r>
        <w:rPr>
          <w:rFonts w:hint="eastAsia" w:asciiTheme="minorEastAsia" w:hAnsiTheme="minorEastAsia"/>
          <w:sz w:val="24"/>
        </w:rPr>
        <w:t>串通</w:t>
      </w:r>
      <w:r>
        <w:rPr>
          <w:rFonts w:asciiTheme="minorEastAsia" w:hAnsiTheme="minorEastAsia"/>
          <w:sz w:val="24"/>
        </w:rPr>
        <w:t>投标</w:t>
      </w:r>
      <w:r>
        <w:rPr>
          <w:rFonts w:hint="eastAsia" w:asciiTheme="minorEastAsia" w:hAnsiTheme="minorEastAsia"/>
          <w:sz w:val="24"/>
        </w:rPr>
        <w:t>并</w:t>
      </w:r>
      <w:r>
        <w:rPr>
          <w:rFonts w:asciiTheme="minorEastAsia" w:hAnsiTheme="minorEastAsia"/>
          <w:sz w:val="24"/>
        </w:rPr>
        <w:t>否决其投标；</w:t>
      </w:r>
    </w:p>
    <w:p>
      <w:pPr>
        <w:pStyle w:val="12"/>
        <w:spacing w:line="360" w:lineRule="auto"/>
        <w:ind w:firstLine="480" w:firstLineChars="200"/>
        <w:rPr>
          <w:rFonts w:ascii="Arial" w:hAnsi="宋体" w:cs="Arial"/>
          <w:color w:val="000000"/>
          <w:sz w:val="24"/>
        </w:rPr>
      </w:pPr>
      <w:r>
        <w:rPr>
          <w:rFonts w:asciiTheme="minorEastAsia" w:hAnsiTheme="minorEastAsia"/>
          <w:sz w:val="24"/>
        </w:rPr>
        <w:t>7</w:t>
      </w:r>
      <w:r>
        <w:rPr>
          <w:rFonts w:hint="eastAsia" w:asciiTheme="minorEastAsia" w:hAnsiTheme="minorEastAsia"/>
          <w:sz w:val="24"/>
        </w:rPr>
        <w:t>.</w:t>
      </w:r>
      <w:r>
        <w:rPr>
          <w:rFonts w:hint="eastAsia" w:ascii="Arial" w:hAnsi="宋体" w:cs="Arial"/>
          <w:color w:val="000000"/>
          <w:sz w:val="24"/>
        </w:rPr>
        <w:t>允许代理商参与的，只允许生产商或制造商直接授权的代理商参与采购项目，禁止存在转授权情况的代理商参与采购项目。</w:t>
      </w:r>
    </w:p>
    <w:p>
      <w:pPr>
        <w:pStyle w:val="12"/>
        <w:spacing w:line="360" w:lineRule="auto"/>
        <w:ind w:firstLine="480" w:firstLineChars="200"/>
        <w:rPr>
          <w:rFonts w:ascii="Arial" w:hAnsi="宋体" w:cs="Arial"/>
          <w:color w:val="000000"/>
          <w:sz w:val="24"/>
        </w:rPr>
      </w:pPr>
      <w:r>
        <w:rPr>
          <w:rFonts w:hint="eastAsia" w:ascii="宋体" w:hAnsi="宋体" w:cs="宋体"/>
          <w:color w:val="FF0000"/>
          <w:sz w:val="24"/>
        </w:rPr>
        <w:t>8</w:t>
      </w:r>
      <w:r>
        <w:rPr>
          <w:rFonts w:hint="eastAsia" w:ascii="宋体" w:hAnsi="宋体" w:cs="宋体"/>
          <w:color w:val="FF0000"/>
          <w:sz w:val="24"/>
          <w:lang w:val="en-US" w:eastAsia="zh-CN"/>
        </w:rPr>
        <w:t>.</w:t>
      </w:r>
      <w:bookmarkStart w:id="2" w:name="_GoBack"/>
      <w:bookmarkEnd w:id="2"/>
      <w:r>
        <w:rPr>
          <w:rFonts w:hint="eastAsia" w:ascii="宋体" w:hAnsi="宋体" w:cs="宋体"/>
          <w:color w:val="FF0000"/>
          <w:sz w:val="24"/>
        </w:rPr>
        <w:t>鉴于目前国内新冠疫情形势，投标方必须符合当地疫情防控要求，且满足招标方的服务期限，省外参与的公司请电话沟通后，确定疫情管控制度后能否按时完成再进行报价。</w:t>
      </w:r>
    </w:p>
    <w:p>
      <w:pPr>
        <w:pStyle w:val="2"/>
        <w:spacing w:line="360" w:lineRule="auto"/>
        <w:rPr>
          <w:rFonts w:ascii="宋体" w:hAnsi="宋体" w:eastAsia="宋体" w:cs="宋体"/>
          <w:sz w:val="24"/>
          <w:szCs w:val="24"/>
        </w:rPr>
      </w:pPr>
      <w:r>
        <w:rPr>
          <w:rFonts w:hint="eastAsia" w:ascii="宋体" w:hAnsi="宋体" w:eastAsia="宋体" w:cs="宋体"/>
          <w:b/>
          <w:bCs/>
          <w:sz w:val="24"/>
          <w:szCs w:val="24"/>
        </w:rPr>
        <w:t>二、专项条款：</w:t>
      </w:r>
    </w:p>
    <w:p>
      <w:p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1.</w:t>
      </w:r>
      <w:r>
        <w:rPr>
          <w:rFonts w:hint="eastAsia" w:ascii="宋体" w:hAnsi="宋体" w:cs="宋体"/>
          <w:sz w:val="24"/>
          <w:szCs w:val="24"/>
        </w:rPr>
        <w:t>提供近三年（2019年1月1日至目前）与北方公司所属企业相关项目的业绩至少1份，不足1份为不合格（提供合同关键页扫描件）；</w:t>
      </w:r>
    </w:p>
    <w:p>
      <w:pPr>
        <w:ind w:firstLine="480" w:firstLineChars="200"/>
        <w:rPr>
          <w:rFonts w:ascii="宋体" w:hAnsi="宋体" w:cs="宋体"/>
          <w:sz w:val="24"/>
          <w:szCs w:val="24"/>
        </w:rPr>
      </w:pPr>
    </w:p>
    <w:p>
      <w:pPr>
        <w:pStyle w:val="12"/>
        <w:pageBreakBefore/>
        <w:jc w:val="center"/>
        <w:rPr>
          <w:rFonts w:ascii="黑体" w:hAnsi="黑体" w:eastAsia="黑体" w:cs="黑体"/>
          <w:sz w:val="40"/>
          <w:szCs w:val="40"/>
        </w:rPr>
      </w:pPr>
      <w:r>
        <w:rPr>
          <w:rFonts w:hint="eastAsia" w:ascii="黑体" w:hAnsi="黑体" w:eastAsia="黑体" w:cs="黑体"/>
          <w:sz w:val="40"/>
          <w:szCs w:val="40"/>
        </w:rPr>
        <w:t>第四章 技术规范要求</w:t>
      </w:r>
    </w:p>
    <w:p>
      <w:pPr>
        <w:pStyle w:val="17"/>
        <w:widowControl/>
        <w:ind w:firstLine="482" w:firstLineChars="200"/>
        <w:jc w:val="left"/>
        <w:rPr>
          <w:rFonts w:ascii="宋体" w:hAnsi="宋体" w:cs="宋体"/>
          <w:b/>
          <w:sz w:val="24"/>
          <w:szCs w:val="24"/>
        </w:rPr>
      </w:pPr>
      <w:r>
        <w:rPr>
          <w:rFonts w:hint="eastAsia" w:ascii="宋体" w:hAnsi="宋体" w:cs="宋体"/>
          <w:b/>
          <w:sz w:val="24"/>
          <w:szCs w:val="24"/>
        </w:rPr>
        <w:t>一、工程服务需求清单一览表</w:t>
      </w:r>
    </w:p>
    <w:tbl>
      <w:tblPr>
        <w:tblStyle w:val="11"/>
        <w:tblpPr w:leftFromText="180" w:rightFromText="180" w:vertAnchor="text" w:horzAnchor="page" w:tblpX="1197" w:tblpY="7"/>
        <w:tblOverlap w:val="never"/>
        <w:tblW w:w="94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615"/>
        <w:gridCol w:w="1156"/>
        <w:gridCol w:w="1263"/>
        <w:gridCol w:w="1180"/>
        <w:gridCol w:w="440"/>
        <w:gridCol w:w="380"/>
        <w:gridCol w:w="708"/>
        <w:gridCol w:w="879"/>
        <w:gridCol w:w="775"/>
        <w:gridCol w:w="892"/>
        <w:gridCol w:w="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50" w:type="dxa"/>
            <w:vMerge w:val="restart"/>
            <w:vAlign w:val="center"/>
          </w:tcPr>
          <w:p>
            <w:pPr>
              <w:pStyle w:val="12"/>
              <w:rPr>
                <w:rFonts w:ascii="宋体" w:hAnsi="宋体" w:cs="宋体"/>
                <w:sz w:val="22"/>
                <w:szCs w:val="22"/>
              </w:rPr>
            </w:pPr>
            <w:r>
              <w:rPr>
                <w:rFonts w:hint="eastAsia" w:ascii="宋体" w:hAnsi="宋体" w:cs="宋体"/>
                <w:sz w:val="22"/>
                <w:szCs w:val="22"/>
              </w:rPr>
              <w:t>序号</w:t>
            </w:r>
          </w:p>
        </w:tc>
        <w:tc>
          <w:tcPr>
            <w:tcW w:w="615" w:type="dxa"/>
            <w:vMerge w:val="restart"/>
            <w:vAlign w:val="center"/>
          </w:tcPr>
          <w:p>
            <w:pPr>
              <w:pStyle w:val="12"/>
              <w:spacing w:line="240" w:lineRule="exact"/>
              <w:jc w:val="center"/>
              <w:rPr>
                <w:rFonts w:ascii="宋体" w:hAnsi="宋体" w:cs="宋体"/>
                <w:sz w:val="22"/>
                <w:szCs w:val="22"/>
              </w:rPr>
            </w:pPr>
            <w:r>
              <w:rPr>
                <w:rFonts w:hint="eastAsia" w:ascii="宋体" w:hAnsi="宋体" w:cs="宋体"/>
                <w:sz w:val="22"/>
                <w:szCs w:val="22"/>
              </w:rPr>
              <w:t>工程服务编码</w:t>
            </w:r>
          </w:p>
        </w:tc>
        <w:tc>
          <w:tcPr>
            <w:tcW w:w="1156" w:type="dxa"/>
            <w:vMerge w:val="restart"/>
            <w:vAlign w:val="center"/>
          </w:tcPr>
          <w:p>
            <w:pPr>
              <w:pStyle w:val="12"/>
              <w:jc w:val="center"/>
              <w:rPr>
                <w:rFonts w:ascii="宋体" w:hAnsi="宋体" w:cs="宋体"/>
                <w:sz w:val="22"/>
                <w:szCs w:val="22"/>
              </w:rPr>
            </w:pPr>
            <w:r>
              <w:rPr>
                <w:rFonts w:hint="eastAsia" w:ascii="宋体" w:hAnsi="宋体" w:cs="宋体"/>
                <w:sz w:val="22"/>
                <w:szCs w:val="22"/>
              </w:rPr>
              <w:t>项目分项名称</w:t>
            </w:r>
          </w:p>
        </w:tc>
        <w:tc>
          <w:tcPr>
            <w:tcW w:w="1263" w:type="dxa"/>
            <w:vMerge w:val="restart"/>
            <w:vAlign w:val="center"/>
          </w:tcPr>
          <w:p>
            <w:pPr>
              <w:pStyle w:val="12"/>
              <w:jc w:val="center"/>
              <w:rPr>
                <w:rFonts w:ascii="宋体" w:hAnsi="宋体" w:cs="宋体"/>
                <w:sz w:val="22"/>
                <w:szCs w:val="22"/>
              </w:rPr>
            </w:pPr>
            <w:r>
              <w:rPr>
                <w:rFonts w:hint="eastAsia" w:ascii="宋体" w:hAnsi="宋体" w:cs="宋体"/>
                <w:sz w:val="22"/>
                <w:szCs w:val="22"/>
              </w:rPr>
              <w:t>分项技术标准</w:t>
            </w:r>
          </w:p>
        </w:tc>
        <w:tc>
          <w:tcPr>
            <w:tcW w:w="1180" w:type="dxa"/>
            <w:vMerge w:val="restart"/>
            <w:vAlign w:val="center"/>
          </w:tcPr>
          <w:p>
            <w:pPr>
              <w:pStyle w:val="12"/>
              <w:jc w:val="center"/>
              <w:rPr>
                <w:rFonts w:ascii="宋体" w:hAnsi="宋体" w:cs="宋体"/>
                <w:sz w:val="22"/>
                <w:szCs w:val="22"/>
              </w:rPr>
            </w:pPr>
            <w:r>
              <w:rPr>
                <w:rFonts w:hint="eastAsia" w:ascii="宋体" w:hAnsi="宋体" w:cs="宋体"/>
                <w:sz w:val="22"/>
                <w:szCs w:val="22"/>
              </w:rPr>
              <w:t>实施范围</w:t>
            </w:r>
          </w:p>
        </w:tc>
        <w:tc>
          <w:tcPr>
            <w:tcW w:w="440" w:type="dxa"/>
            <w:vMerge w:val="restart"/>
            <w:vAlign w:val="center"/>
          </w:tcPr>
          <w:p>
            <w:pPr>
              <w:pStyle w:val="12"/>
              <w:jc w:val="center"/>
              <w:rPr>
                <w:rFonts w:ascii="宋体" w:hAnsi="宋体" w:cs="宋体"/>
                <w:sz w:val="22"/>
                <w:szCs w:val="22"/>
              </w:rPr>
            </w:pPr>
            <w:r>
              <w:rPr>
                <w:rFonts w:hint="eastAsia" w:ascii="宋体" w:hAnsi="宋体" w:cs="宋体"/>
                <w:sz w:val="22"/>
                <w:szCs w:val="22"/>
              </w:rPr>
              <w:t>数量</w:t>
            </w:r>
          </w:p>
        </w:tc>
        <w:tc>
          <w:tcPr>
            <w:tcW w:w="380" w:type="dxa"/>
            <w:vMerge w:val="restart"/>
            <w:vAlign w:val="center"/>
          </w:tcPr>
          <w:p>
            <w:pPr>
              <w:pStyle w:val="12"/>
              <w:rPr>
                <w:rFonts w:ascii="宋体" w:hAnsi="宋体" w:cs="宋体"/>
                <w:sz w:val="22"/>
                <w:szCs w:val="22"/>
              </w:rPr>
            </w:pPr>
            <w:r>
              <w:rPr>
                <w:rFonts w:hint="eastAsia" w:ascii="宋体" w:hAnsi="宋体" w:cs="宋体"/>
                <w:sz w:val="22"/>
                <w:szCs w:val="22"/>
              </w:rPr>
              <w:t>单位</w:t>
            </w:r>
          </w:p>
        </w:tc>
        <w:tc>
          <w:tcPr>
            <w:tcW w:w="1587" w:type="dxa"/>
            <w:gridSpan w:val="2"/>
            <w:vAlign w:val="center"/>
          </w:tcPr>
          <w:p>
            <w:pPr>
              <w:pStyle w:val="12"/>
              <w:jc w:val="center"/>
              <w:rPr>
                <w:rFonts w:ascii="宋体" w:hAnsi="宋体" w:cs="宋体"/>
                <w:sz w:val="22"/>
                <w:szCs w:val="22"/>
              </w:rPr>
            </w:pPr>
            <w:r>
              <w:rPr>
                <w:rFonts w:hint="eastAsia" w:ascii="宋体" w:hAnsi="宋体" w:cs="宋体"/>
                <w:sz w:val="22"/>
                <w:szCs w:val="22"/>
              </w:rPr>
              <w:t>报价方</w:t>
            </w:r>
          </w:p>
        </w:tc>
        <w:tc>
          <w:tcPr>
            <w:tcW w:w="775" w:type="dxa"/>
            <w:vMerge w:val="restart"/>
            <w:vAlign w:val="center"/>
          </w:tcPr>
          <w:p>
            <w:pPr>
              <w:pStyle w:val="12"/>
              <w:rPr>
                <w:rFonts w:ascii="宋体" w:hAnsi="宋体" w:cs="宋体"/>
                <w:sz w:val="22"/>
                <w:szCs w:val="22"/>
              </w:rPr>
            </w:pPr>
            <w:r>
              <w:rPr>
                <w:rFonts w:hint="eastAsia" w:ascii="宋体" w:hAnsi="宋体" w:cs="宋体"/>
                <w:sz w:val="22"/>
                <w:szCs w:val="22"/>
              </w:rPr>
              <w:t>工期服务期限</w:t>
            </w:r>
          </w:p>
        </w:tc>
        <w:tc>
          <w:tcPr>
            <w:tcW w:w="892" w:type="dxa"/>
            <w:vMerge w:val="restart"/>
            <w:vAlign w:val="center"/>
          </w:tcPr>
          <w:p>
            <w:pPr>
              <w:pStyle w:val="12"/>
              <w:jc w:val="center"/>
              <w:rPr>
                <w:rFonts w:ascii="宋体" w:hAnsi="宋体" w:cs="宋体"/>
                <w:sz w:val="22"/>
                <w:szCs w:val="22"/>
              </w:rPr>
            </w:pPr>
            <w:r>
              <w:rPr>
                <w:rFonts w:hint="eastAsia" w:ascii="宋体" w:hAnsi="宋体" w:cs="宋体"/>
                <w:sz w:val="22"/>
                <w:szCs w:val="22"/>
              </w:rPr>
              <w:t>实施</w:t>
            </w:r>
          </w:p>
          <w:p>
            <w:pPr>
              <w:pStyle w:val="12"/>
              <w:jc w:val="center"/>
              <w:rPr>
                <w:rFonts w:ascii="宋体" w:hAnsi="宋体" w:cs="宋体"/>
                <w:sz w:val="22"/>
                <w:szCs w:val="22"/>
              </w:rPr>
            </w:pPr>
            <w:r>
              <w:rPr>
                <w:rFonts w:hint="eastAsia" w:ascii="宋体" w:hAnsi="宋体" w:cs="宋体"/>
                <w:sz w:val="22"/>
                <w:szCs w:val="22"/>
              </w:rPr>
              <w:t>地点</w:t>
            </w:r>
          </w:p>
        </w:tc>
        <w:tc>
          <w:tcPr>
            <w:tcW w:w="757" w:type="dxa"/>
            <w:vMerge w:val="restart"/>
            <w:vAlign w:val="center"/>
          </w:tcPr>
          <w:p>
            <w:pPr>
              <w:pStyle w:val="12"/>
              <w:jc w:val="center"/>
              <w:rPr>
                <w:rFonts w:ascii="宋体" w:hAnsi="宋体" w:cs="宋体"/>
                <w:sz w:val="22"/>
                <w:szCs w:val="22"/>
              </w:rPr>
            </w:pPr>
            <w:r>
              <w:rPr>
                <w:rFonts w:hint="eastAsia" w:ascii="宋体" w:hAnsi="宋体" w:cs="宋体"/>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450" w:type="dxa"/>
            <w:vMerge w:val="continue"/>
            <w:vAlign w:val="center"/>
          </w:tcPr>
          <w:p>
            <w:pPr>
              <w:pStyle w:val="12"/>
              <w:rPr>
                <w:rFonts w:ascii="宋体" w:hAnsi="宋体" w:cs="宋体"/>
                <w:sz w:val="22"/>
                <w:szCs w:val="22"/>
              </w:rPr>
            </w:pPr>
          </w:p>
        </w:tc>
        <w:tc>
          <w:tcPr>
            <w:tcW w:w="615" w:type="dxa"/>
            <w:vMerge w:val="continue"/>
            <w:vAlign w:val="center"/>
          </w:tcPr>
          <w:p>
            <w:pPr>
              <w:pStyle w:val="12"/>
              <w:jc w:val="center"/>
              <w:rPr>
                <w:rFonts w:ascii="宋体" w:hAnsi="宋体" w:cs="宋体"/>
                <w:sz w:val="22"/>
                <w:szCs w:val="22"/>
              </w:rPr>
            </w:pPr>
          </w:p>
        </w:tc>
        <w:tc>
          <w:tcPr>
            <w:tcW w:w="1156" w:type="dxa"/>
            <w:vMerge w:val="continue"/>
            <w:vAlign w:val="center"/>
          </w:tcPr>
          <w:p>
            <w:pPr>
              <w:pStyle w:val="12"/>
              <w:jc w:val="center"/>
              <w:rPr>
                <w:rFonts w:ascii="宋体" w:hAnsi="宋体" w:cs="宋体"/>
                <w:sz w:val="22"/>
                <w:szCs w:val="22"/>
              </w:rPr>
            </w:pPr>
          </w:p>
        </w:tc>
        <w:tc>
          <w:tcPr>
            <w:tcW w:w="1263" w:type="dxa"/>
            <w:vMerge w:val="continue"/>
            <w:vAlign w:val="center"/>
          </w:tcPr>
          <w:p>
            <w:pPr>
              <w:pStyle w:val="12"/>
              <w:jc w:val="center"/>
              <w:rPr>
                <w:rFonts w:ascii="宋体" w:hAnsi="宋体" w:cs="宋体"/>
                <w:sz w:val="22"/>
                <w:szCs w:val="22"/>
              </w:rPr>
            </w:pPr>
          </w:p>
        </w:tc>
        <w:tc>
          <w:tcPr>
            <w:tcW w:w="1180" w:type="dxa"/>
            <w:vMerge w:val="continue"/>
            <w:vAlign w:val="center"/>
          </w:tcPr>
          <w:p>
            <w:pPr>
              <w:pStyle w:val="12"/>
              <w:jc w:val="center"/>
              <w:rPr>
                <w:rFonts w:ascii="宋体" w:hAnsi="宋体" w:cs="宋体"/>
                <w:sz w:val="22"/>
                <w:szCs w:val="22"/>
              </w:rPr>
            </w:pPr>
          </w:p>
        </w:tc>
        <w:tc>
          <w:tcPr>
            <w:tcW w:w="440" w:type="dxa"/>
            <w:vMerge w:val="continue"/>
            <w:vAlign w:val="center"/>
          </w:tcPr>
          <w:p>
            <w:pPr>
              <w:pStyle w:val="12"/>
              <w:rPr>
                <w:rFonts w:ascii="宋体" w:hAnsi="宋体" w:cs="宋体"/>
                <w:sz w:val="22"/>
                <w:szCs w:val="22"/>
              </w:rPr>
            </w:pPr>
          </w:p>
        </w:tc>
        <w:tc>
          <w:tcPr>
            <w:tcW w:w="380" w:type="dxa"/>
            <w:vMerge w:val="continue"/>
            <w:vAlign w:val="center"/>
          </w:tcPr>
          <w:p>
            <w:pPr>
              <w:pStyle w:val="12"/>
              <w:jc w:val="center"/>
              <w:rPr>
                <w:rFonts w:ascii="宋体" w:hAnsi="宋体" w:cs="宋体"/>
                <w:sz w:val="22"/>
                <w:szCs w:val="22"/>
              </w:rPr>
            </w:pPr>
          </w:p>
        </w:tc>
        <w:tc>
          <w:tcPr>
            <w:tcW w:w="708" w:type="dxa"/>
            <w:vAlign w:val="center"/>
          </w:tcPr>
          <w:p>
            <w:pPr>
              <w:pStyle w:val="12"/>
              <w:spacing w:line="240" w:lineRule="exact"/>
              <w:jc w:val="center"/>
              <w:rPr>
                <w:rFonts w:ascii="宋体" w:hAnsi="宋体" w:cs="宋体"/>
                <w:bCs/>
                <w:sz w:val="22"/>
                <w:szCs w:val="22"/>
              </w:rPr>
            </w:pPr>
            <w:r>
              <w:rPr>
                <w:rFonts w:hint="eastAsia" w:ascii="宋体" w:hAnsi="宋体" w:cs="宋体"/>
                <w:bCs/>
                <w:sz w:val="22"/>
                <w:szCs w:val="22"/>
              </w:rPr>
              <w:t>含税报单价（元）</w:t>
            </w:r>
          </w:p>
        </w:tc>
        <w:tc>
          <w:tcPr>
            <w:tcW w:w="879" w:type="dxa"/>
          </w:tcPr>
          <w:p>
            <w:pPr>
              <w:pStyle w:val="12"/>
              <w:spacing w:line="240" w:lineRule="exact"/>
              <w:jc w:val="center"/>
              <w:rPr>
                <w:rFonts w:ascii="宋体" w:hAnsi="宋体" w:cs="宋体"/>
                <w:bCs/>
                <w:sz w:val="22"/>
                <w:szCs w:val="22"/>
              </w:rPr>
            </w:pPr>
            <w:r>
              <w:rPr>
                <w:rFonts w:hint="eastAsia" w:ascii="宋体" w:hAnsi="宋体" w:cs="宋体"/>
                <w:bCs/>
                <w:sz w:val="22"/>
                <w:szCs w:val="22"/>
              </w:rPr>
              <w:t>含税报</w:t>
            </w:r>
          </w:p>
          <w:p>
            <w:pPr>
              <w:pStyle w:val="12"/>
              <w:spacing w:line="240" w:lineRule="exact"/>
              <w:jc w:val="center"/>
              <w:rPr>
                <w:rFonts w:ascii="宋体" w:hAnsi="宋体" w:cs="宋体"/>
                <w:bCs/>
                <w:sz w:val="22"/>
                <w:szCs w:val="22"/>
              </w:rPr>
            </w:pPr>
            <w:r>
              <w:rPr>
                <w:rFonts w:hint="eastAsia" w:ascii="宋体" w:hAnsi="宋体" w:cs="宋体"/>
                <w:bCs/>
                <w:sz w:val="22"/>
                <w:szCs w:val="22"/>
              </w:rPr>
              <w:t>总价（元）</w:t>
            </w:r>
          </w:p>
        </w:tc>
        <w:tc>
          <w:tcPr>
            <w:tcW w:w="775" w:type="dxa"/>
            <w:vMerge w:val="continue"/>
            <w:vAlign w:val="center"/>
          </w:tcPr>
          <w:p>
            <w:pPr>
              <w:pStyle w:val="12"/>
              <w:jc w:val="center"/>
              <w:rPr>
                <w:rFonts w:ascii="宋体" w:hAnsi="宋体" w:cs="宋体"/>
                <w:sz w:val="22"/>
                <w:szCs w:val="22"/>
              </w:rPr>
            </w:pPr>
          </w:p>
        </w:tc>
        <w:tc>
          <w:tcPr>
            <w:tcW w:w="892" w:type="dxa"/>
            <w:vMerge w:val="continue"/>
            <w:vAlign w:val="center"/>
          </w:tcPr>
          <w:p>
            <w:pPr>
              <w:pStyle w:val="12"/>
              <w:jc w:val="center"/>
              <w:rPr>
                <w:rFonts w:ascii="宋体" w:hAnsi="宋体" w:cs="宋体"/>
                <w:sz w:val="22"/>
                <w:szCs w:val="22"/>
              </w:rPr>
            </w:pPr>
          </w:p>
        </w:tc>
        <w:tc>
          <w:tcPr>
            <w:tcW w:w="757" w:type="dxa"/>
            <w:vMerge w:val="continue"/>
            <w:vAlign w:val="center"/>
          </w:tcPr>
          <w:p>
            <w:pPr>
              <w:pStyle w:val="12"/>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2" w:hRule="atLeast"/>
        </w:trPr>
        <w:tc>
          <w:tcPr>
            <w:tcW w:w="450" w:type="dxa"/>
          </w:tcPr>
          <w:p>
            <w:pPr>
              <w:pStyle w:val="17"/>
              <w:spacing w:line="360" w:lineRule="auto"/>
              <w:jc w:val="center"/>
              <w:rPr>
                <w:rFonts w:ascii="宋体" w:hAnsi="宋体" w:cs="宋体"/>
                <w:sz w:val="22"/>
              </w:rPr>
            </w:pPr>
          </w:p>
          <w:p>
            <w:pPr>
              <w:pStyle w:val="17"/>
              <w:spacing w:line="360" w:lineRule="auto"/>
              <w:jc w:val="center"/>
              <w:rPr>
                <w:rFonts w:ascii="宋体" w:hAnsi="宋体" w:cs="宋体"/>
                <w:sz w:val="22"/>
              </w:rPr>
            </w:pPr>
          </w:p>
          <w:p>
            <w:pPr>
              <w:pStyle w:val="17"/>
              <w:spacing w:line="360" w:lineRule="auto"/>
              <w:jc w:val="center"/>
              <w:rPr>
                <w:rFonts w:ascii="宋体" w:hAnsi="宋体" w:cs="宋体"/>
                <w:sz w:val="22"/>
              </w:rPr>
            </w:pPr>
            <w:r>
              <w:rPr>
                <w:rFonts w:hint="eastAsia" w:ascii="宋体" w:hAnsi="宋体" w:cs="宋体"/>
                <w:sz w:val="22"/>
              </w:rPr>
              <w:t>1</w:t>
            </w:r>
          </w:p>
        </w:tc>
        <w:tc>
          <w:tcPr>
            <w:tcW w:w="615" w:type="dxa"/>
          </w:tcPr>
          <w:p>
            <w:pPr>
              <w:pStyle w:val="17"/>
              <w:jc w:val="center"/>
              <w:rPr>
                <w:rFonts w:ascii="宋体" w:hAnsi="宋体" w:cs="宋体"/>
                <w:sz w:val="22"/>
              </w:rPr>
            </w:pPr>
          </w:p>
        </w:tc>
        <w:tc>
          <w:tcPr>
            <w:tcW w:w="1156" w:type="dxa"/>
          </w:tcPr>
          <w:p>
            <w:pPr>
              <w:spacing w:line="240" w:lineRule="exact"/>
              <w:jc w:val="left"/>
              <w:rPr>
                <w:rFonts w:ascii="宋体" w:hAnsi="宋体" w:cs="宋体"/>
                <w:bCs/>
                <w:sz w:val="22"/>
              </w:rPr>
            </w:pPr>
          </w:p>
          <w:p>
            <w:pPr>
              <w:spacing w:line="240" w:lineRule="exact"/>
              <w:jc w:val="left"/>
              <w:rPr>
                <w:rFonts w:ascii="宋体" w:hAnsi="宋体" w:cs="宋体"/>
                <w:bCs/>
                <w:sz w:val="22"/>
              </w:rPr>
            </w:pPr>
          </w:p>
          <w:p>
            <w:pPr>
              <w:spacing w:line="240" w:lineRule="exact"/>
              <w:jc w:val="left"/>
              <w:rPr>
                <w:rFonts w:ascii="宋体" w:hAnsi="宋体" w:cs="宋体"/>
                <w:sz w:val="22"/>
              </w:rPr>
            </w:pPr>
            <w:r>
              <w:rPr>
                <w:rFonts w:hint="eastAsia" w:ascii="宋体" w:hAnsi="宋体" w:cs="宋体"/>
                <w:bCs/>
                <w:sz w:val="22"/>
              </w:rPr>
              <w:t>北方联合电力建团100周年宣传片策划摄制</w:t>
            </w:r>
          </w:p>
        </w:tc>
        <w:tc>
          <w:tcPr>
            <w:tcW w:w="1263" w:type="dxa"/>
          </w:tcPr>
          <w:p>
            <w:pPr>
              <w:pStyle w:val="17"/>
              <w:spacing w:line="240" w:lineRule="exact"/>
              <w:jc w:val="left"/>
              <w:rPr>
                <w:rFonts w:ascii="宋体" w:hAnsi="宋体" w:cs="宋体"/>
                <w:sz w:val="22"/>
              </w:rPr>
            </w:pPr>
          </w:p>
          <w:p>
            <w:pPr>
              <w:pStyle w:val="17"/>
              <w:spacing w:line="240" w:lineRule="exact"/>
              <w:jc w:val="left"/>
              <w:rPr>
                <w:rFonts w:ascii="宋体" w:hAnsi="宋体" w:cs="宋体"/>
                <w:sz w:val="22"/>
              </w:rPr>
            </w:pPr>
            <w:r>
              <w:rPr>
                <w:rFonts w:hint="eastAsia" w:ascii="宋体" w:hAnsi="宋体" w:cs="宋体"/>
                <w:sz w:val="22"/>
              </w:rPr>
              <w:t>宣传要求策划拍摄制作15分钟、另须提供拍摄素材片且片长不少于50分钟</w:t>
            </w:r>
          </w:p>
        </w:tc>
        <w:tc>
          <w:tcPr>
            <w:tcW w:w="1180" w:type="dxa"/>
          </w:tcPr>
          <w:p>
            <w:pPr>
              <w:pStyle w:val="17"/>
              <w:spacing w:line="240" w:lineRule="exact"/>
              <w:jc w:val="left"/>
              <w:rPr>
                <w:rFonts w:ascii="宋体" w:hAnsi="宋体" w:cs="宋体"/>
                <w:sz w:val="22"/>
              </w:rPr>
            </w:pPr>
          </w:p>
          <w:p>
            <w:pPr>
              <w:pStyle w:val="17"/>
              <w:spacing w:line="240" w:lineRule="exact"/>
              <w:jc w:val="left"/>
              <w:rPr>
                <w:rFonts w:ascii="宋体" w:hAnsi="宋体" w:cs="宋体"/>
                <w:sz w:val="22"/>
              </w:rPr>
            </w:pPr>
            <w:r>
              <w:rPr>
                <w:rFonts w:hint="eastAsia" w:ascii="宋体" w:hAnsi="宋体" w:cs="宋体"/>
                <w:sz w:val="22"/>
              </w:rPr>
              <w:t>宣传片的策划、撰稿、拍摄、采访、航拍、灯光、轨道、摇臂、配音、编辑、动画等工作</w:t>
            </w:r>
          </w:p>
        </w:tc>
        <w:tc>
          <w:tcPr>
            <w:tcW w:w="440" w:type="dxa"/>
          </w:tcPr>
          <w:p>
            <w:pPr>
              <w:pStyle w:val="17"/>
              <w:spacing w:line="240" w:lineRule="exact"/>
              <w:jc w:val="center"/>
              <w:rPr>
                <w:rFonts w:ascii="宋体" w:hAnsi="宋体" w:cs="宋体"/>
                <w:sz w:val="22"/>
              </w:rPr>
            </w:pPr>
          </w:p>
          <w:p>
            <w:pPr>
              <w:pStyle w:val="17"/>
              <w:spacing w:line="240" w:lineRule="exact"/>
              <w:jc w:val="center"/>
              <w:rPr>
                <w:rFonts w:ascii="宋体" w:hAnsi="宋体" w:cs="宋体"/>
                <w:sz w:val="22"/>
              </w:rPr>
            </w:pPr>
          </w:p>
          <w:p>
            <w:pPr>
              <w:pStyle w:val="17"/>
              <w:spacing w:line="240" w:lineRule="exact"/>
              <w:jc w:val="center"/>
              <w:rPr>
                <w:rFonts w:ascii="宋体" w:hAnsi="宋体" w:cs="宋体"/>
                <w:sz w:val="22"/>
              </w:rPr>
            </w:pPr>
          </w:p>
          <w:p>
            <w:pPr>
              <w:pStyle w:val="17"/>
              <w:spacing w:line="240" w:lineRule="exact"/>
              <w:jc w:val="center"/>
              <w:rPr>
                <w:rFonts w:ascii="宋体" w:hAnsi="宋体" w:cs="宋体"/>
                <w:sz w:val="22"/>
              </w:rPr>
            </w:pPr>
          </w:p>
          <w:p>
            <w:pPr>
              <w:pStyle w:val="17"/>
              <w:spacing w:line="240" w:lineRule="exact"/>
              <w:jc w:val="center"/>
              <w:rPr>
                <w:rFonts w:ascii="宋体" w:hAnsi="宋体" w:cs="宋体"/>
                <w:sz w:val="22"/>
              </w:rPr>
            </w:pPr>
            <w:r>
              <w:rPr>
                <w:rFonts w:hint="eastAsia" w:ascii="宋体" w:hAnsi="宋体" w:cs="宋体"/>
                <w:sz w:val="22"/>
              </w:rPr>
              <w:t>1</w:t>
            </w:r>
          </w:p>
        </w:tc>
        <w:tc>
          <w:tcPr>
            <w:tcW w:w="380" w:type="dxa"/>
          </w:tcPr>
          <w:p>
            <w:pPr>
              <w:pStyle w:val="17"/>
              <w:spacing w:line="240" w:lineRule="exact"/>
              <w:jc w:val="center"/>
              <w:rPr>
                <w:rFonts w:ascii="宋体" w:hAnsi="宋体" w:cs="宋体"/>
                <w:sz w:val="22"/>
              </w:rPr>
            </w:pPr>
          </w:p>
          <w:p>
            <w:pPr>
              <w:pStyle w:val="17"/>
              <w:spacing w:line="240" w:lineRule="exact"/>
              <w:jc w:val="center"/>
              <w:rPr>
                <w:rFonts w:ascii="宋体" w:hAnsi="宋体" w:cs="宋体"/>
                <w:sz w:val="22"/>
              </w:rPr>
            </w:pPr>
          </w:p>
          <w:p>
            <w:pPr>
              <w:pStyle w:val="17"/>
              <w:spacing w:line="240" w:lineRule="exact"/>
              <w:jc w:val="center"/>
              <w:rPr>
                <w:rFonts w:ascii="宋体" w:hAnsi="宋体" w:cs="宋体"/>
                <w:sz w:val="22"/>
              </w:rPr>
            </w:pPr>
          </w:p>
          <w:p>
            <w:pPr>
              <w:pStyle w:val="17"/>
              <w:spacing w:line="240" w:lineRule="exact"/>
              <w:jc w:val="center"/>
              <w:rPr>
                <w:rFonts w:ascii="宋体" w:hAnsi="宋体" w:cs="宋体"/>
                <w:sz w:val="22"/>
              </w:rPr>
            </w:pPr>
          </w:p>
          <w:p>
            <w:pPr>
              <w:pStyle w:val="17"/>
              <w:spacing w:line="240" w:lineRule="exact"/>
              <w:jc w:val="center"/>
              <w:rPr>
                <w:rFonts w:ascii="宋体" w:hAnsi="宋体" w:cs="宋体"/>
                <w:sz w:val="22"/>
              </w:rPr>
            </w:pPr>
            <w:r>
              <w:rPr>
                <w:rFonts w:hint="eastAsia" w:ascii="宋体" w:hAnsi="宋体" w:cs="宋体"/>
                <w:sz w:val="22"/>
              </w:rPr>
              <w:t>项</w:t>
            </w:r>
          </w:p>
        </w:tc>
        <w:tc>
          <w:tcPr>
            <w:tcW w:w="708" w:type="dxa"/>
          </w:tcPr>
          <w:p>
            <w:pPr>
              <w:pStyle w:val="17"/>
              <w:spacing w:line="240" w:lineRule="exact"/>
              <w:jc w:val="center"/>
              <w:rPr>
                <w:rFonts w:ascii="宋体" w:hAnsi="宋体" w:cs="宋体"/>
                <w:sz w:val="22"/>
              </w:rPr>
            </w:pPr>
          </w:p>
        </w:tc>
        <w:tc>
          <w:tcPr>
            <w:tcW w:w="879" w:type="dxa"/>
          </w:tcPr>
          <w:p>
            <w:pPr>
              <w:pStyle w:val="17"/>
              <w:spacing w:line="240" w:lineRule="exact"/>
              <w:jc w:val="center"/>
              <w:rPr>
                <w:rFonts w:ascii="宋体" w:hAnsi="宋体" w:cs="宋体"/>
                <w:sz w:val="22"/>
              </w:rPr>
            </w:pPr>
          </w:p>
        </w:tc>
        <w:tc>
          <w:tcPr>
            <w:tcW w:w="775" w:type="dxa"/>
          </w:tcPr>
          <w:p>
            <w:pPr>
              <w:spacing w:line="240" w:lineRule="exact"/>
              <w:jc w:val="center"/>
              <w:rPr>
                <w:rFonts w:ascii="宋体" w:hAnsi="宋体" w:cs="宋体"/>
                <w:sz w:val="22"/>
              </w:rPr>
            </w:pPr>
          </w:p>
          <w:p>
            <w:pPr>
              <w:pStyle w:val="3"/>
              <w:ind w:firstLine="210"/>
            </w:pPr>
          </w:p>
          <w:p>
            <w:pPr>
              <w:spacing w:line="240" w:lineRule="exact"/>
              <w:jc w:val="center"/>
              <w:rPr>
                <w:rFonts w:ascii="宋体" w:hAnsi="宋体" w:cs="宋体"/>
                <w:sz w:val="22"/>
              </w:rPr>
            </w:pPr>
            <w:r>
              <w:rPr>
                <w:rFonts w:hint="eastAsia" w:ascii="宋体" w:hAnsi="宋体" w:cs="宋体"/>
                <w:sz w:val="22"/>
              </w:rPr>
              <w:t>合同签订后15个日历内完成。</w:t>
            </w:r>
          </w:p>
          <w:p>
            <w:pPr>
              <w:pStyle w:val="2"/>
              <w:rPr>
                <w:rFonts w:ascii="宋体" w:hAnsi="宋体" w:eastAsia="宋体" w:cs="宋体"/>
                <w:sz w:val="22"/>
                <w:szCs w:val="22"/>
              </w:rPr>
            </w:pPr>
          </w:p>
        </w:tc>
        <w:tc>
          <w:tcPr>
            <w:tcW w:w="892" w:type="dxa"/>
          </w:tcPr>
          <w:p>
            <w:pPr>
              <w:spacing w:line="240" w:lineRule="exact"/>
              <w:jc w:val="center"/>
              <w:rPr>
                <w:rFonts w:ascii="宋体" w:hAnsi="宋体" w:cs="宋体"/>
                <w:sz w:val="22"/>
              </w:rPr>
            </w:pPr>
          </w:p>
          <w:p>
            <w:pPr>
              <w:pStyle w:val="3"/>
              <w:ind w:firstLine="210"/>
            </w:pPr>
          </w:p>
          <w:p>
            <w:pPr>
              <w:spacing w:line="240" w:lineRule="exact"/>
              <w:jc w:val="center"/>
              <w:rPr>
                <w:rFonts w:ascii="宋体" w:hAnsi="宋体" w:cs="宋体"/>
                <w:sz w:val="22"/>
              </w:rPr>
            </w:pPr>
            <w:r>
              <w:rPr>
                <w:rFonts w:hint="eastAsia" w:ascii="宋体" w:hAnsi="宋体" w:cs="宋体"/>
                <w:sz w:val="22"/>
              </w:rPr>
              <w:t>项目内容所涉及的地方</w:t>
            </w:r>
          </w:p>
        </w:tc>
        <w:tc>
          <w:tcPr>
            <w:tcW w:w="757" w:type="dxa"/>
          </w:tcPr>
          <w:p>
            <w:pPr>
              <w:spacing w:line="240" w:lineRule="exact"/>
              <w:jc w:val="center"/>
              <w:rPr>
                <w:rFonts w:ascii="宋体" w:hAnsi="宋体" w:cs="宋体"/>
                <w:sz w:val="22"/>
              </w:rPr>
            </w:pPr>
          </w:p>
          <w:p>
            <w:pPr>
              <w:pStyle w:val="3"/>
              <w:ind w:firstLine="210"/>
            </w:pPr>
          </w:p>
          <w:p>
            <w:pPr>
              <w:spacing w:line="240" w:lineRule="exact"/>
              <w:jc w:val="center"/>
              <w:rPr>
                <w:rFonts w:ascii="宋体" w:hAnsi="宋体" w:cs="宋体"/>
                <w:sz w:val="22"/>
              </w:rPr>
            </w:pPr>
            <w:r>
              <w:rPr>
                <w:rFonts w:hint="eastAsia" w:ascii="宋体" w:hAnsi="宋体" w:cs="宋体"/>
                <w:sz w:val="22"/>
              </w:rPr>
              <w:t>拍摄制作所需设备全部由报价方提供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trPr>
        <w:tc>
          <w:tcPr>
            <w:tcW w:w="6192" w:type="dxa"/>
            <w:gridSpan w:val="8"/>
          </w:tcPr>
          <w:p>
            <w:pPr>
              <w:pStyle w:val="12"/>
              <w:jc w:val="center"/>
              <w:rPr>
                <w:rFonts w:ascii="宋体" w:hAnsi="宋体" w:cs="宋体"/>
                <w:sz w:val="22"/>
                <w:szCs w:val="22"/>
              </w:rPr>
            </w:pPr>
            <w:r>
              <w:rPr>
                <w:rFonts w:hint="eastAsia" w:ascii="宋体" w:hAnsi="宋体" w:cs="宋体"/>
                <w:sz w:val="22"/>
                <w:szCs w:val="22"/>
              </w:rPr>
              <w:t>合计</w:t>
            </w:r>
          </w:p>
        </w:tc>
        <w:tc>
          <w:tcPr>
            <w:tcW w:w="879" w:type="dxa"/>
          </w:tcPr>
          <w:p>
            <w:pPr>
              <w:pStyle w:val="12"/>
              <w:rPr>
                <w:rFonts w:ascii="宋体" w:hAnsi="宋体" w:cs="宋体"/>
                <w:sz w:val="22"/>
                <w:szCs w:val="22"/>
              </w:rPr>
            </w:pPr>
          </w:p>
        </w:tc>
        <w:tc>
          <w:tcPr>
            <w:tcW w:w="775" w:type="dxa"/>
          </w:tcPr>
          <w:p>
            <w:pPr>
              <w:pStyle w:val="12"/>
              <w:rPr>
                <w:rFonts w:ascii="宋体" w:hAnsi="宋体" w:cs="宋体"/>
                <w:sz w:val="22"/>
                <w:szCs w:val="22"/>
              </w:rPr>
            </w:pPr>
          </w:p>
        </w:tc>
        <w:tc>
          <w:tcPr>
            <w:tcW w:w="892" w:type="dxa"/>
          </w:tcPr>
          <w:p>
            <w:pPr>
              <w:pStyle w:val="12"/>
              <w:rPr>
                <w:rFonts w:ascii="宋体" w:hAnsi="宋体" w:cs="宋体"/>
                <w:sz w:val="22"/>
                <w:szCs w:val="22"/>
              </w:rPr>
            </w:pPr>
          </w:p>
        </w:tc>
        <w:tc>
          <w:tcPr>
            <w:tcW w:w="757" w:type="dxa"/>
          </w:tcPr>
          <w:p>
            <w:pPr>
              <w:pStyle w:val="12"/>
              <w:rPr>
                <w:rFonts w:ascii="宋体" w:hAnsi="宋体" w:cs="宋体"/>
                <w:sz w:val="22"/>
                <w:szCs w:val="22"/>
              </w:rPr>
            </w:pPr>
          </w:p>
        </w:tc>
      </w:tr>
    </w:tbl>
    <w:p>
      <w:pPr>
        <w:rPr>
          <w:rFonts w:ascii="宋体" w:hAnsi="宋体" w:cs="宋体"/>
          <w:b/>
          <w:bCs/>
          <w:sz w:val="22"/>
        </w:rPr>
      </w:pPr>
    </w:p>
    <w:p>
      <w:pPr>
        <w:ind w:firstLine="482" w:firstLineChars="200"/>
        <w:rPr>
          <w:rFonts w:ascii="宋体" w:hAnsi="宋体" w:cs="宋体"/>
          <w:b/>
          <w:bCs/>
          <w:sz w:val="24"/>
          <w:szCs w:val="24"/>
        </w:rPr>
      </w:pPr>
      <w:r>
        <w:rPr>
          <w:rFonts w:hint="eastAsia" w:ascii="宋体" w:hAnsi="宋体" w:cs="宋体"/>
          <w:b/>
          <w:bCs/>
          <w:sz w:val="24"/>
          <w:szCs w:val="24"/>
        </w:rPr>
        <w:t>二、宣传片制作服务工作内容</w:t>
      </w:r>
    </w:p>
    <w:p>
      <w:pPr>
        <w:spacing w:line="360" w:lineRule="auto"/>
        <w:ind w:firstLine="480" w:firstLineChars="200"/>
        <w:rPr>
          <w:rFonts w:ascii="宋体" w:hAnsi="宋体" w:cs="宋体"/>
          <w:sz w:val="24"/>
          <w:szCs w:val="24"/>
        </w:rPr>
      </w:pPr>
      <w:r>
        <w:rPr>
          <w:rFonts w:hint="eastAsia" w:ascii="宋体" w:hAnsi="宋体" w:cs="宋体"/>
          <w:sz w:val="24"/>
          <w:szCs w:val="24"/>
        </w:rPr>
        <w:t>服务内容清单：宣传片的策划、撰稿、拍摄、航拍、灯光、轨道、摇臂、采访录音、配音、编辑、动画等工作；拍摄片长：15分钟；</w:t>
      </w:r>
    </w:p>
    <w:p>
      <w:pPr>
        <w:spacing w:line="360" w:lineRule="auto"/>
        <w:ind w:firstLine="482" w:firstLineChars="200"/>
        <w:rPr>
          <w:rFonts w:ascii="宋体" w:hAnsi="宋体" w:cs="宋体"/>
          <w:b/>
          <w:bCs/>
          <w:sz w:val="24"/>
          <w:szCs w:val="24"/>
        </w:rPr>
      </w:pPr>
      <w:r>
        <w:rPr>
          <w:rFonts w:hint="eastAsia" w:ascii="宋体" w:hAnsi="宋体" w:cs="宋体"/>
          <w:b/>
          <w:bCs/>
          <w:sz w:val="24"/>
          <w:szCs w:val="24"/>
        </w:rPr>
        <w:t>三、拍摄、制作技术要求</w:t>
      </w:r>
    </w:p>
    <w:p>
      <w:pPr>
        <w:spacing w:line="360" w:lineRule="auto"/>
        <w:ind w:firstLine="480" w:firstLineChars="200"/>
        <w:rPr>
          <w:rFonts w:ascii="宋体" w:hAnsi="宋体" w:cs="宋体"/>
          <w:sz w:val="24"/>
          <w:szCs w:val="24"/>
        </w:rPr>
      </w:pPr>
      <w:r>
        <w:rPr>
          <w:rFonts w:hint="eastAsia" w:ascii="宋体" w:hAnsi="宋体" w:cs="宋体"/>
          <w:sz w:val="24"/>
          <w:szCs w:val="24"/>
        </w:rPr>
        <w:t>1.策划撰稿要求解说词需专业文案撰写，必须有过电力行业影视文案经验。</w:t>
      </w:r>
    </w:p>
    <w:p>
      <w:pPr>
        <w:spacing w:line="360" w:lineRule="auto"/>
        <w:ind w:firstLine="480" w:firstLineChars="200"/>
        <w:rPr>
          <w:rFonts w:ascii="宋体" w:hAnsi="宋体" w:cs="宋体"/>
          <w:sz w:val="24"/>
          <w:szCs w:val="24"/>
        </w:rPr>
      </w:pPr>
      <w:r>
        <w:rPr>
          <w:rFonts w:hint="eastAsia" w:ascii="宋体" w:hAnsi="宋体" w:cs="宋体"/>
          <w:sz w:val="24"/>
          <w:szCs w:val="24"/>
        </w:rPr>
        <w:t>2.拍摄角度要求新颖，故事感强、场面宏大，必须有拍摄制作过相关电力行业大型专题片经验，需专业导演、摄像师、灯光师运作，制作要有节奏感、过渡流畅、自然，色彩柔和。</w:t>
      </w:r>
    </w:p>
    <w:p>
      <w:pPr>
        <w:spacing w:line="360" w:lineRule="auto"/>
        <w:ind w:firstLine="480" w:firstLineChars="200"/>
        <w:rPr>
          <w:rFonts w:ascii="宋体" w:hAnsi="宋体" w:cs="宋体"/>
          <w:sz w:val="24"/>
          <w:szCs w:val="24"/>
        </w:rPr>
      </w:pPr>
      <w:r>
        <w:rPr>
          <w:rFonts w:hint="eastAsia" w:ascii="宋体" w:hAnsi="宋体" w:cs="宋体"/>
          <w:sz w:val="24"/>
          <w:szCs w:val="24"/>
        </w:rPr>
        <w:t>3.拍摄设备器材要求为高清摄像机、航拍、摇臂、轨道、灯光、长焦镜头、广角镜头等。全片由解说、采访同期、动态影像、事件环境背景声、静态资料画面、字幕和音乐音效，以及三维动画视觉特效等多种影音元素有机构成——全片影像及音乐音效节奏张弛有度，根据叙事的内容和情绪，舒缓时，要疏可跑马，紧张时，应密不透风。</w:t>
      </w:r>
    </w:p>
    <w:p>
      <w:pPr>
        <w:spacing w:line="360" w:lineRule="auto"/>
        <w:ind w:firstLine="480" w:firstLineChars="200"/>
        <w:rPr>
          <w:rFonts w:ascii="宋体" w:hAnsi="宋体" w:cs="宋体"/>
          <w:sz w:val="24"/>
          <w:szCs w:val="24"/>
        </w:rPr>
      </w:pPr>
      <w:r>
        <w:rPr>
          <w:rFonts w:hint="eastAsia" w:ascii="宋体" w:hAnsi="宋体" w:cs="宋体"/>
          <w:sz w:val="24"/>
          <w:szCs w:val="24"/>
        </w:rPr>
        <w:t>4.声音要求全片音频指标整体平衡，无爆音、爆表等技术瑕疵。音乐音效与解说、采访同期为烘托关系，除特殊的艺术处理外，避免音乐音效掩盖住解说及采访同期的情况。另，在最终提交的完成版中，音频内容应在左右声道平衡输出；与此同时，再保存一版解说在1声道，采访同期、事件环境背景声、音乐音效在2声道（国际声）的工作版。</w:t>
      </w:r>
    </w:p>
    <w:p>
      <w:pPr>
        <w:spacing w:line="360" w:lineRule="auto"/>
        <w:ind w:firstLine="480" w:firstLineChars="200"/>
        <w:rPr>
          <w:rFonts w:ascii="宋体" w:hAnsi="宋体" w:cs="宋体"/>
          <w:sz w:val="24"/>
          <w:szCs w:val="24"/>
        </w:rPr>
      </w:pPr>
      <w:r>
        <w:rPr>
          <w:rFonts w:hint="eastAsia" w:ascii="宋体" w:hAnsi="宋体" w:cs="宋体"/>
          <w:sz w:val="24"/>
          <w:szCs w:val="24"/>
        </w:rPr>
        <w:t>具体要求如下（依据GB3174《彩色电视广播》、《中央电视台播出技术审查规范》）：</w:t>
      </w:r>
    </w:p>
    <w:p>
      <w:pPr>
        <w:spacing w:line="360" w:lineRule="auto"/>
        <w:ind w:firstLine="480" w:firstLineChars="200"/>
        <w:rPr>
          <w:rFonts w:ascii="宋体" w:hAnsi="宋体" w:cs="宋体"/>
          <w:sz w:val="24"/>
          <w:szCs w:val="24"/>
        </w:rPr>
      </w:pPr>
      <w:r>
        <w:rPr>
          <w:rFonts w:hint="eastAsia" w:ascii="宋体" w:hAnsi="宋体" w:cs="宋体"/>
          <w:sz w:val="24"/>
          <w:szCs w:val="24"/>
        </w:rPr>
        <w:t>（1）音频校准信号标准为1KHz正弦波信号。</w:t>
      </w:r>
    </w:p>
    <w:p>
      <w:pPr>
        <w:spacing w:line="360" w:lineRule="auto"/>
        <w:ind w:firstLine="480" w:firstLineChars="200"/>
        <w:rPr>
          <w:rFonts w:ascii="宋体" w:hAnsi="宋体" w:cs="宋体"/>
          <w:sz w:val="24"/>
          <w:szCs w:val="24"/>
        </w:rPr>
      </w:pPr>
      <w:r>
        <w:rPr>
          <w:rFonts w:hint="eastAsia" w:ascii="宋体" w:hAnsi="宋体" w:cs="宋体"/>
          <w:sz w:val="24"/>
          <w:szCs w:val="24"/>
        </w:rPr>
        <w:t>（2）基准电平设置为: -18dBFs。</w:t>
      </w:r>
    </w:p>
    <w:p>
      <w:pPr>
        <w:spacing w:line="360" w:lineRule="auto"/>
        <w:ind w:firstLine="480" w:firstLineChars="200"/>
        <w:rPr>
          <w:rFonts w:ascii="宋体" w:hAnsi="宋体" w:cs="宋体"/>
          <w:sz w:val="24"/>
          <w:szCs w:val="24"/>
        </w:rPr>
      </w:pPr>
      <w:r>
        <w:rPr>
          <w:rFonts w:hint="eastAsia" w:ascii="宋体" w:hAnsi="宋体" w:cs="宋体"/>
          <w:sz w:val="24"/>
          <w:szCs w:val="24"/>
        </w:rPr>
        <w:t>（3）伴音电平：语言≤-10dBFs，瞬间=-10dBFs；音乐≤-5dBFs，   瞬间=-5dBFs；</w:t>
      </w:r>
    </w:p>
    <w:p>
      <w:pPr>
        <w:spacing w:line="360" w:lineRule="auto"/>
        <w:ind w:firstLine="480" w:firstLineChars="200"/>
        <w:rPr>
          <w:rFonts w:ascii="宋体" w:hAnsi="宋体" w:cs="宋体"/>
          <w:sz w:val="24"/>
          <w:szCs w:val="24"/>
        </w:rPr>
      </w:pPr>
      <w:r>
        <w:rPr>
          <w:rFonts w:hint="eastAsia" w:ascii="宋体" w:hAnsi="宋体" w:cs="宋体"/>
          <w:sz w:val="24"/>
          <w:szCs w:val="24"/>
        </w:rPr>
        <w:t>（4）整体声音电平大部分应控制在-18dBFs； 音频幅度不能长时间低于-25dBFs。</w:t>
      </w:r>
    </w:p>
    <w:p>
      <w:pPr>
        <w:spacing w:line="360" w:lineRule="auto"/>
        <w:ind w:firstLine="480" w:firstLineChars="200"/>
        <w:rPr>
          <w:rFonts w:ascii="宋体" w:hAnsi="宋体" w:cs="宋体"/>
          <w:sz w:val="24"/>
          <w:szCs w:val="24"/>
        </w:rPr>
      </w:pPr>
      <w:r>
        <w:rPr>
          <w:rFonts w:hint="eastAsia" w:ascii="宋体" w:hAnsi="宋体" w:cs="宋体"/>
          <w:sz w:val="24"/>
          <w:szCs w:val="24"/>
        </w:rPr>
        <w:t>（5）工作版声音通道分配： 声道1（CH-1）：只用于记录解说词。声道2（CH-2）：用于记录国际声（即音乐、效果、现场声及现场同期采访声）。</w:t>
      </w:r>
    </w:p>
    <w:p>
      <w:pPr>
        <w:spacing w:line="360" w:lineRule="auto"/>
        <w:ind w:firstLine="480" w:firstLineChars="200"/>
        <w:rPr>
          <w:rFonts w:ascii="宋体" w:hAnsi="宋体" w:cs="宋体"/>
          <w:sz w:val="24"/>
          <w:szCs w:val="24"/>
        </w:rPr>
      </w:pPr>
      <w:r>
        <w:rPr>
          <w:rFonts w:hint="eastAsia" w:ascii="宋体" w:hAnsi="宋体" w:cs="宋体"/>
          <w:sz w:val="24"/>
          <w:szCs w:val="24"/>
        </w:rPr>
        <w:t>（6）全片要求伴音清晰，饱满圆润，无失真，无噪声干扰，无明显过大过小或时大时小，无明显背景噪声。</w:t>
      </w:r>
    </w:p>
    <w:p>
      <w:pPr>
        <w:spacing w:line="360" w:lineRule="auto"/>
        <w:ind w:firstLine="480" w:firstLineChars="200"/>
        <w:rPr>
          <w:rFonts w:ascii="宋体" w:hAnsi="宋体" w:cs="宋体"/>
          <w:sz w:val="24"/>
          <w:szCs w:val="24"/>
        </w:rPr>
      </w:pPr>
      <w:r>
        <w:rPr>
          <w:rFonts w:hint="eastAsia" w:ascii="宋体" w:hAnsi="宋体" w:cs="宋体"/>
          <w:sz w:val="24"/>
          <w:szCs w:val="24"/>
        </w:rPr>
        <w:t>（7）控制解说声与背景音乐及现场环境音效的相互比例，避免造成背景音乐及环境音效声音过大导致无法听清解说词的现象。</w:t>
      </w:r>
    </w:p>
    <w:p>
      <w:pPr>
        <w:spacing w:line="360" w:lineRule="auto"/>
        <w:ind w:firstLine="480" w:firstLineChars="200"/>
        <w:rPr>
          <w:rFonts w:ascii="宋体" w:hAnsi="宋体" w:cs="宋体"/>
          <w:sz w:val="24"/>
          <w:szCs w:val="24"/>
        </w:rPr>
      </w:pPr>
      <w:r>
        <w:rPr>
          <w:rFonts w:hint="eastAsia" w:ascii="宋体" w:hAnsi="宋体" w:cs="宋体"/>
          <w:sz w:val="24"/>
          <w:szCs w:val="24"/>
        </w:rPr>
        <w:t>（8）现场采访要求尽量选择现场噪声小的环境录制，采访人声与现场环境音效的比例也要精心控制，现场噪声过大会导致无法听清采访词。</w:t>
      </w:r>
    </w:p>
    <w:p>
      <w:pPr>
        <w:spacing w:line="360" w:lineRule="auto"/>
        <w:ind w:firstLine="480" w:firstLineChars="200"/>
        <w:rPr>
          <w:rFonts w:ascii="宋体" w:hAnsi="宋体" w:cs="宋体"/>
          <w:sz w:val="24"/>
          <w:szCs w:val="24"/>
        </w:rPr>
      </w:pPr>
      <w:r>
        <w:rPr>
          <w:rFonts w:hint="eastAsia" w:ascii="宋体" w:hAnsi="宋体" w:cs="宋体"/>
          <w:sz w:val="24"/>
          <w:szCs w:val="24"/>
        </w:rPr>
        <w:t>（9）音乐和环境音效选择运用要与内容相对适宜，不要出现与内容无关的声效和音乐，也不要选择观众太过熟悉的音乐，避免产生节目主题以外的其他联想。</w:t>
      </w:r>
    </w:p>
    <w:p>
      <w:pPr>
        <w:spacing w:line="360" w:lineRule="auto"/>
        <w:ind w:firstLine="480" w:firstLineChars="200"/>
        <w:rPr>
          <w:rFonts w:ascii="宋体" w:hAnsi="宋体" w:cs="宋体"/>
          <w:sz w:val="24"/>
          <w:szCs w:val="24"/>
        </w:rPr>
      </w:pPr>
      <w:r>
        <w:rPr>
          <w:rFonts w:hint="eastAsia" w:ascii="宋体" w:hAnsi="宋体" w:cs="宋体"/>
          <w:sz w:val="24"/>
          <w:szCs w:val="24"/>
        </w:rPr>
        <w:t>（10）解说员要讲标准的普通话，吐字发音要清楚，不能出现发音错误。解说员应具备国家语委的行业资格标准。</w:t>
      </w:r>
    </w:p>
    <w:p>
      <w:pPr>
        <w:spacing w:line="360" w:lineRule="auto"/>
        <w:ind w:firstLine="480" w:firstLineChars="200"/>
        <w:rPr>
          <w:rFonts w:ascii="宋体" w:hAnsi="宋体" w:cs="宋体"/>
          <w:sz w:val="24"/>
          <w:szCs w:val="24"/>
        </w:rPr>
      </w:pPr>
      <w:r>
        <w:rPr>
          <w:rFonts w:hint="eastAsia" w:ascii="宋体" w:hAnsi="宋体" w:cs="宋体"/>
          <w:sz w:val="24"/>
          <w:szCs w:val="24"/>
        </w:rPr>
        <w:t>5.画面要求全片画面保证1920*1080高清画质。除特殊艺术效果外，保证影像色调准确、镜头运动稳定、画面构图简洁、明暗亮度适中、细节内容丰富、场面调度有序、剪辑节奏明快，避免出现质量低下、内容粗糙、拖泥带水的影像画面。充分运用三维动画的表现方式丰富宣传片展示效果，动画制作要高水平完成，</w:t>
      </w:r>
    </w:p>
    <w:p>
      <w:pPr>
        <w:spacing w:line="360" w:lineRule="auto"/>
        <w:ind w:firstLine="480" w:firstLineChars="200"/>
        <w:rPr>
          <w:rFonts w:ascii="宋体" w:hAnsi="宋体" w:cs="宋体"/>
          <w:sz w:val="24"/>
          <w:szCs w:val="24"/>
        </w:rPr>
      </w:pPr>
      <w:r>
        <w:rPr>
          <w:rFonts w:hint="eastAsia" w:ascii="宋体" w:hAnsi="宋体" w:cs="宋体"/>
          <w:sz w:val="24"/>
          <w:szCs w:val="24"/>
        </w:rPr>
        <w:t>具体要求如下（依据GB3174《彩色电视广播》、《中央电视台播出技术审查规范》）：</w:t>
      </w:r>
    </w:p>
    <w:p>
      <w:pPr>
        <w:spacing w:line="360" w:lineRule="auto"/>
        <w:ind w:firstLine="480" w:firstLineChars="200"/>
        <w:rPr>
          <w:rFonts w:ascii="宋体" w:hAnsi="宋体" w:cs="宋体"/>
          <w:sz w:val="24"/>
          <w:szCs w:val="24"/>
        </w:rPr>
      </w:pPr>
      <w:r>
        <w:rPr>
          <w:rFonts w:hint="eastAsia" w:ascii="宋体" w:hAnsi="宋体" w:cs="宋体"/>
          <w:sz w:val="24"/>
          <w:szCs w:val="24"/>
        </w:rPr>
        <w:t>（1）视频信号源应符合GB规定的R.G.B分量信号。</w:t>
      </w:r>
    </w:p>
    <w:p>
      <w:pPr>
        <w:spacing w:line="360" w:lineRule="auto"/>
        <w:ind w:firstLine="480" w:firstLineChars="200"/>
        <w:rPr>
          <w:rFonts w:ascii="宋体" w:hAnsi="宋体" w:cs="宋体"/>
          <w:sz w:val="24"/>
          <w:szCs w:val="24"/>
        </w:rPr>
      </w:pPr>
      <w:r>
        <w:rPr>
          <w:rFonts w:hint="eastAsia" w:ascii="宋体" w:hAnsi="宋体" w:cs="宋体"/>
          <w:sz w:val="24"/>
          <w:szCs w:val="24"/>
        </w:rPr>
        <w:t>（2）满足帧精度编辑要求。</w:t>
      </w:r>
    </w:p>
    <w:p>
      <w:pPr>
        <w:spacing w:line="360" w:lineRule="auto"/>
        <w:ind w:firstLine="480" w:firstLineChars="200"/>
        <w:rPr>
          <w:rFonts w:ascii="宋体" w:hAnsi="宋体" w:cs="宋体"/>
          <w:sz w:val="24"/>
          <w:szCs w:val="24"/>
        </w:rPr>
      </w:pPr>
      <w:r>
        <w:rPr>
          <w:rFonts w:hint="eastAsia" w:ascii="宋体" w:hAnsi="宋体" w:cs="宋体"/>
          <w:sz w:val="24"/>
          <w:szCs w:val="24"/>
        </w:rPr>
        <w:t>（3）视频校准信号（片头彩条）应采用100/0/75/0标准彩条</w:t>
      </w:r>
    </w:p>
    <w:p>
      <w:pPr>
        <w:spacing w:line="360" w:lineRule="auto"/>
        <w:rPr>
          <w:rFonts w:ascii="宋体" w:hAnsi="宋体" w:cs="宋体"/>
          <w:sz w:val="24"/>
          <w:szCs w:val="24"/>
        </w:rPr>
      </w:pPr>
      <w:r>
        <w:rPr>
          <w:rFonts w:hint="eastAsia" w:ascii="宋体" w:hAnsi="宋体" w:cs="宋体"/>
          <w:sz w:val="24"/>
          <w:szCs w:val="24"/>
        </w:rPr>
        <w:t>（即欧洲广播联盟（EBU）制定的，又称为EBU彩条）。</w:t>
      </w:r>
    </w:p>
    <w:p>
      <w:pPr>
        <w:spacing w:line="360" w:lineRule="auto"/>
        <w:ind w:firstLine="480" w:firstLineChars="200"/>
        <w:rPr>
          <w:rFonts w:ascii="宋体" w:hAnsi="宋体" w:cs="宋体"/>
          <w:sz w:val="24"/>
          <w:szCs w:val="24"/>
        </w:rPr>
      </w:pPr>
      <w:r>
        <w:rPr>
          <w:rFonts w:hint="eastAsia" w:ascii="宋体" w:hAnsi="宋体" w:cs="宋体"/>
          <w:sz w:val="24"/>
          <w:szCs w:val="24"/>
        </w:rPr>
        <w:t>（4）技术标准</w:t>
      </w:r>
    </w:p>
    <w:p>
      <w:pPr>
        <w:spacing w:line="360" w:lineRule="auto"/>
        <w:ind w:firstLine="480" w:firstLineChars="200"/>
        <w:rPr>
          <w:rFonts w:ascii="宋体" w:hAnsi="宋体" w:cs="宋体"/>
          <w:sz w:val="24"/>
          <w:szCs w:val="24"/>
        </w:rPr>
      </w:pPr>
      <w:r>
        <w:rPr>
          <w:rFonts w:hint="eastAsia" w:ascii="宋体" w:hAnsi="宋体" w:cs="宋体"/>
          <w:sz w:val="24"/>
          <w:szCs w:val="24"/>
        </w:rPr>
        <w:t>重放视频画面在用波形示波器监测时：全电视信号幅度不大于1V±0.02V;图象信号幅度最大值不大于0.8V;图象亮度信号幅度不大于0.77V；黑电平与消隐电平差标准值：0-0.05V;字幕峰值电平不大于0.8V；时码须连续并在引带彩条信号开始点置零。</w:t>
      </w:r>
    </w:p>
    <w:p>
      <w:pPr>
        <w:spacing w:line="360" w:lineRule="auto"/>
        <w:ind w:firstLine="480" w:firstLineChars="200"/>
        <w:rPr>
          <w:rFonts w:ascii="宋体" w:hAnsi="宋体" w:cs="宋体"/>
          <w:sz w:val="24"/>
          <w:szCs w:val="24"/>
        </w:rPr>
      </w:pPr>
      <w:r>
        <w:rPr>
          <w:rFonts w:hint="eastAsia" w:ascii="宋体" w:hAnsi="宋体" w:cs="宋体"/>
          <w:sz w:val="24"/>
          <w:szCs w:val="24"/>
        </w:rPr>
        <w:t>（5）图像画面稳定，图像清晰，层次丰富，色彩清晰、自然，无杂乱信号（如闪烁、掉色、偏色、拉道、拉毛、波纹、花屏、不同步、噪波大等现象）。正式节目图像中不可出现彩条、彩底。正式节目图像不能出现夹帧、磁迹中断等现象。</w:t>
      </w:r>
    </w:p>
    <w:p>
      <w:pPr>
        <w:spacing w:line="360" w:lineRule="auto"/>
        <w:ind w:firstLine="480" w:firstLineChars="200"/>
        <w:rPr>
          <w:rFonts w:ascii="宋体" w:hAnsi="宋体" w:cs="宋体"/>
          <w:sz w:val="24"/>
          <w:szCs w:val="24"/>
        </w:rPr>
      </w:pPr>
      <w:r>
        <w:rPr>
          <w:rFonts w:hint="eastAsia" w:ascii="宋体" w:hAnsi="宋体" w:cs="宋体"/>
          <w:sz w:val="24"/>
          <w:szCs w:val="24"/>
        </w:rPr>
        <w:t>（6）镜头推、拉、摇、移和切换等操作使用恰当；构图合理，采光自然，影调适宜。拍摄中尽量使用三角架，避免镜头晃动造成的画面不稳。</w:t>
      </w:r>
    </w:p>
    <w:p>
      <w:pPr>
        <w:spacing w:line="360" w:lineRule="auto"/>
        <w:ind w:firstLine="480" w:firstLineChars="200"/>
        <w:rPr>
          <w:rFonts w:ascii="宋体" w:hAnsi="宋体" w:cs="宋体"/>
          <w:sz w:val="24"/>
          <w:szCs w:val="24"/>
        </w:rPr>
      </w:pPr>
      <w:r>
        <w:rPr>
          <w:rFonts w:hint="eastAsia" w:ascii="宋体" w:hAnsi="宋体" w:cs="宋体"/>
          <w:sz w:val="24"/>
          <w:szCs w:val="24"/>
        </w:rPr>
        <w:t>（7）拍摄环境要适合主题内容的表现，主体突出。</w:t>
      </w:r>
    </w:p>
    <w:p>
      <w:pPr>
        <w:spacing w:line="360" w:lineRule="auto"/>
        <w:ind w:firstLine="480" w:firstLineChars="200"/>
        <w:rPr>
          <w:rFonts w:ascii="宋体" w:hAnsi="宋体" w:cs="宋体"/>
          <w:sz w:val="24"/>
          <w:szCs w:val="24"/>
        </w:rPr>
      </w:pPr>
      <w:r>
        <w:rPr>
          <w:rFonts w:hint="eastAsia" w:ascii="宋体" w:hAnsi="宋体" w:cs="宋体"/>
          <w:sz w:val="24"/>
          <w:szCs w:val="24"/>
        </w:rPr>
        <w:t>镜头运用流畅，主体表述清楚。剪接要有讲究节奏，强调镜头之间的内在逻辑关系以及与解说词的配合，要让观众看得明白。</w:t>
      </w:r>
    </w:p>
    <w:p>
      <w:pPr>
        <w:spacing w:line="360" w:lineRule="auto"/>
        <w:ind w:firstLine="480" w:firstLineChars="200"/>
        <w:rPr>
          <w:rFonts w:ascii="宋体" w:hAnsi="宋体" w:cs="宋体"/>
          <w:sz w:val="24"/>
          <w:szCs w:val="24"/>
        </w:rPr>
      </w:pPr>
      <w:r>
        <w:rPr>
          <w:rFonts w:hint="eastAsia" w:ascii="宋体" w:hAnsi="宋体" w:cs="宋体"/>
          <w:sz w:val="24"/>
          <w:szCs w:val="24"/>
        </w:rPr>
        <w:t>片中镜头除了要多次强调某个重要环节，可做适当的重复。通常全片不得多次重复使用同一镜头。</w:t>
      </w:r>
    </w:p>
    <w:p>
      <w:pPr>
        <w:spacing w:line="360" w:lineRule="auto"/>
        <w:ind w:firstLine="480" w:firstLineChars="200"/>
        <w:rPr>
          <w:rFonts w:ascii="宋体" w:hAnsi="宋体" w:cs="宋体"/>
          <w:sz w:val="24"/>
          <w:szCs w:val="24"/>
        </w:rPr>
      </w:pPr>
      <w:r>
        <w:rPr>
          <w:rFonts w:hint="eastAsia" w:ascii="宋体" w:hAnsi="宋体" w:cs="宋体"/>
          <w:sz w:val="24"/>
          <w:szCs w:val="24"/>
        </w:rPr>
        <w:t>（8）节目中的采访不宜过多，被采访者所讲的内容要切题，不能所答非所问。采访内容集中在与主题、项目相关的问题上。采访过程尽量完整流畅，不要剪切、闪白或闪黑过多。</w:t>
      </w:r>
    </w:p>
    <w:p>
      <w:pPr>
        <w:spacing w:line="360" w:lineRule="auto"/>
        <w:ind w:firstLine="480" w:firstLineChars="200"/>
        <w:rPr>
          <w:rFonts w:ascii="宋体" w:hAnsi="宋体" w:cs="宋体"/>
          <w:sz w:val="24"/>
          <w:szCs w:val="24"/>
        </w:rPr>
      </w:pPr>
      <w:r>
        <w:rPr>
          <w:rFonts w:hint="eastAsia" w:ascii="宋体" w:hAnsi="宋体" w:cs="宋体"/>
          <w:sz w:val="24"/>
          <w:szCs w:val="24"/>
        </w:rPr>
        <w:t>（9）解说词和画面要配合有序，声画对位。声音和画面的配合要尽量做到同步、协调。</w:t>
      </w:r>
    </w:p>
    <w:p>
      <w:pPr>
        <w:spacing w:line="360" w:lineRule="auto"/>
        <w:ind w:firstLine="480" w:firstLineChars="200"/>
        <w:rPr>
          <w:rFonts w:ascii="宋体" w:hAnsi="宋体" w:cs="宋体"/>
          <w:sz w:val="24"/>
          <w:szCs w:val="24"/>
        </w:rPr>
      </w:pPr>
      <w:r>
        <w:rPr>
          <w:rFonts w:hint="eastAsia" w:ascii="宋体" w:hAnsi="宋体" w:cs="宋体"/>
          <w:sz w:val="24"/>
          <w:szCs w:val="24"/>
        </w:rPr>
        <w:t>（10）全片所有字幕要与解说和采访声音同步行进，不得提前或延缓。</w:t>
      </w:r>
    </w:p>
    <w:p>
      <w:pPr>
        <w:spacing w:line="360" w:lineRule="auto"/>
        <w:ind w:firstLine="480" w:firstLineChars="200"/>
        <w:rPr>
          <w:rFonts w:ascii="宋体" w:hAnsi="宋体" w:cs="宋体"/>
          <w:sz w:val="24"/>
          <w:szCs w:val="24"/>
        </w:rPr>
      </w:pPr>
      <w:r>
        <w:rPr>
          <w:rFonts w:hint="eastAsia" w:ascii="宋体" w:hAnsi="宋体" w:cs="宋体"/>
          <w:sz w:val="24"/>
          <w:szCs w:val="24"/>
        </w:rPr>
        <w:t>（11）节目中出现的技术操作人员着装及操作手法符合国家和行业标准。</w:t>
      </w:r>
    </w:p>
    <w:p>
      <w:pPr>
        <w:spacing w:line="360" w:lineRule="auto"/>
        <w:ind w:firstLine="480" w:firstLineChars="200"/>
        <w:rPr>
          <w:rFonts w:ascii="宋体" w:hAnsi="宋体" w:cs="宋体"/>
          <w:sz w:val="24"/>
          <w:szCs w:val="24"/>
        </w:rPr>
      </w:pPr>
      <w:r>
        <w:rPr>
          <w:rFonts w:hint="eastAsia" w:ascii="宋体" w:hAnsi="宋体" w:cs="宋体"/>
          <w:sz w:val="24"/>
          <w:szCs w:val="24"/>
        </w:rPr>
        <w:t>6.字幕及图片、图标要求：</w:t>
      </w:r>
    </w:p>
    <w:p>
      <w:pPr>
        <w:spacing w:line="360" w:lineRule="auto"/>
        <w:ind w:firstLine="480" w:firstLineChars="200"/>
        <w:rPr>
          <w:rFonts w:ascii="宋体" w:hAnsi="宋体" w:cs="宋体"/>
          <w:sz w:val="24"/>
          <w:szCs w:val="24"/>
        </w:rPr>
      </w:pPr>
      <w:r>
        <w:rPr>
          <w:rFonts w:hint="eastAsia" w:ascii="宋体" w:hAnsi="宋体" w:cs="宋体"/>
          <w:sz w:val="24"/>
          <w:szCs w:val="24"/>
        </w:rPr>
        <w:t>（1）整个节目的解说词和采访同期声词采用全程加配字幕。要求字幕清晰，准确无误，无错别字、无漏字现象。</w:t>
      </w:r>
    </w:p>
    <w:p>
      <w:pPr>
        <w:spacing w:line="360" w:lineRule="auto"/>
        <w:ind w:firstLine="480" w:firstLineChars="200"/>
        <w:rPr>
          <w:rFonts w:ascii="宋体" w:hAnsi="宋体" w:cs="宋体"/>
          <w:sz w:val="24"/>
          <w:szCs w:val="24"/>
        </w:rPr>
      </w:pPr>
      <w:r>
        <w:rPr>
          <w:rFonts w:hint="eastAsia" w:ascii="宋体" w:hAnsi="宋体" w:cs="宋体"/>
          <w:sz w:val="24"/>
          <w:szCs w:val="24"/>
        </w:rPr>
        <w:t>（2）节目片头字幕可根据字数多少而自行选择字体和字号。</w:t>
      </w:r>
    </w:p>
    <w:p>
      <w:pPr>
        <w:spacing w:line="360" w:lineRule="auto"/>
        <w:ind w:firstLine="480" w:firstLineChars="200"/>
        <w:rPr>
          <w:rFonts w:ascii="宋体" w:hAnsi="宋体" w:cs="宋体"/>
          <w:sz w:val="24"/>
          <w:szCs w:val="24"/>
        </w:rPr>
      </w:pPr>
      <w:r>
        <w:rPr>
          <w:rFonts w:hint="eastAsia" w:ascii="宋体" w:hAnsi="宋体" w:cs="宋体"/>
          <w:sz w:val="24"/>
          <w:szCs w:val="24"/>
        </w:rPr>
        <w:t>（3）节目中解说词字幕规定为:位置：画面左下方</w:t>
      </w:r>
    </w:p>
    <w:p>
      <w:pPr>
        <w:spacing w:line="360" w:lineRule="auto"/>
        <w:ind w:firstLine="480" w:firstLineChars="200"/>
        <w:rPr>
          <w:rFonts w:ascii="宋体" w:hAnsi="宋体" w:cs="宋体"/>
          <w:sz w:val="24"/>
          <w:szCs w:val="24"/>
        </w:rPr>
      </w:pPr>
      <w:r>
        <w:rPr>
          <w:rFonts w:hint="eastAsia" w:ascii="宋体" w:hAnsi="宋体" w:cs="宋体"/>
          <w:sz w:val="24"/>
          <w:szCs w:val="24"/>
        </w:rPr>
        <w:t>（4）对齐方式：左对齐；字体：黑体；字体大小：36x36或38x38、40x40（以DPS为例）；字体颜色：白色；字体边框：黑色 1个单位；禁止使用标点符号；每屏解说唱词不超过14字。</w:t>
      </w:r>
    </w:p>
    <w:p>
      <w:pPr>
        <w:spacing w:line="360" w:lineRule="auto"/>
        <w:ind w:firstLine="480" w:firstLineChars="200"/>
        <w:rPr>
          <w:rFonts w:ascii="宋体" w:hAnsi="宋体" w:cs="宋体"/>
          <w:sz w:val="24"/>
          <w:szCs w:val="24"/>
        </w:rPr>
      </w:pPr>
      <w:r>
        <w:rPr>
          <w:rFonts w:hint="eastAsia" w:ascii="宋体" w:hAnsi="宋体" w:cs="宋体"/>
          <w:sz w:val="24"/>
          <w:szCs w:val="24"/>
        </w:rPr>
        <w:t xml:space="preserve">（5）运用分章节的结构形式而产生的字幕规定为：段落序号一律统一使用汉字标写（例如：“一、XXXX”，“二、XXXX”，三….） </w:t>
      </w:r>
    </w:p>
    <w:p>
      <w:pPr>
        <w:spacing w:line="360" w:lineRule="auto"/>
        <w:rPr>
          <w:rFonts w:ascii="宋体" w:hAnsi="宋体" w:cs="宋体"/>
          <w:sz w:val="24"/>
          <w:szCs w:val="24"/>
        </w:rPr>
      </w:pPr>
      <w:r>
        <w:rPr>
          <w:rFonts w:hint="eastAsia" w:ascii="宋体" w:hAnsi="宋体" w:cs="宋体"/>
          <w:sz w:val="24"/>
          <w:szCs w:val="24"/>
        </w:rPr>
        <w:t>；章节/段落标题时长≤3秒；不可用解说词来读解标题文字内容；字体布局、大小、颜色及艺术效果可自行设计</w:t>
      </w:r>
    </w:p>
    <w:p>
      <w:pPr>
        <w:spacing w:line="360" w:lineRule="auto"/>
        <w:ind w:firstLine="480" w:firstLineChars="200"/>
        <w:rPr>
          <w:rFonts w:ascii="宋体" w:hAnsi="宋体" w:cs="宋体"/>
          <w:sz w:val="24"/>
          <w:szCs w:val="24"/>
        </w:rPr>
      </w:pPr>
      <w:r>
        <w:rPr>
          <w:rFonts w:hint="eastAsia" w:ascii="宋体" w:hAnsi="宋体" w:cs="宋体"/>
          <w:sz w:val="24"/>
          <w:szCs w:val="24"/>
        </w:rPr>
        <w:t xml:space="preserve">（6）被采访人姓名和身份的字幕标写，视人物在画面中的位置而分左右竖排，整体大小要适中，不得妨碍主体体现。字体为黑体，并加以彩色渐变半透明衬底（任选），字体大小视字数多少而自行设定。 </w:t>
      </w:r>
    </w:p>
    <w:p>
      <w:pPr>
        <w:spacing w:line="360" w:lineRule="auto"/>
        <w:ind w:firstLine="480" w:firstLineChars="200"/>
        <w:rPr>
          <w:rFonts w:ascii="宋体" w:hAnsi="宋体" w:cs="宋体"/>
          <w:sz w:val="24"/>
          <w:szCs w:val="24"/>
        </w:rPr>
      </w:pPr>
      <w:r>
        <w:rPr>
          <w:rFonts w:hint="eastAsia" w:ascii="宋体" w:hAnsi="宋体" w:cs="宋体"/>
          <w:sz w:val="24"/>
          <w:szCs w:val="24"/>
        </w:rPr>
        <w:t>（7）节目中图片及图表的使用要布局简练，通俗易懂，显示重点数据，字体要清晰无误，简单易懂，避免出现凌乱和繁杂。</w:t>
      </w:r>
    </w:p>
    <w:p>
      <w:pPr>
        <w:spacing w:line="360" w:lineRule="auto"/>
        <w:ind w:firstLine="480" w:firstLineChars="200"/>
        <w:rPr>
          <w:rFonts w:ascii="宋体" w:hAnsi="宋体" w:cs="宋体"/>
          <w:sz w:val="24"/>
          <w:szCs w:val="24"/>
        </w:rPr>
      </w:pPr>
      <w:r>
        <w:rPr>
          <w:rFonts w:hint="eastAsia" w:ascii="宋体" w:hAnsi="宋体" w:cs="宋体"/>
          <w:sz w:val="24"/>
          <w:szCs w:val="24"/>
        </w:rPr>
        <w:t>（8）节目中的解说词与字幕须统一度量衡的读法和写法，不能使用英文字母替代。长度单位使用公里、米、毫米；面积单位使用公顷、亩、平方米；重量单位使用吨、公斤、克；体积单位使用立方米、公升、毫升；温度单位使用摄氏（字幕可使用℃，读音须读为摄氏xx度）；速度单位使用每小时xx公里、每小时xx米、每秒xx米（字幕可使用公里/小时、米/小时、米/秒）。以上单位的所有数字均使用阿拉伯数字显示。</w:t>
      </w:r>
    </w:p>
    <w:p>
      <w:pPr>
        <w:spacing w:line="360" w:lineRule="auto"/>
        <w:ind w:firstLine="480" w:firstLineChars="200"/>
        <w:rPr>
          <w:rFonts w:ascii="宋体" w:hAnsi="宋体" w:cs="宋体"/>
          <w:sz w:val="24"/>
          <w:szCs w:val="24"/>
        </w:rPr>
      </w:pPr>
      <w:r>
        <w:rPr>
          <w:rFonts w:hint="eastAsia" w:ascii="宋体" w:hAnsi="宋体" w:cs="宋体"/>
          <w:sz w:val="24"/>
          <w:szCs w:val="24"/>
        </w:rPr>
        <w:t>（9）节目字幕中所出现的化学元素名称均要使用汉字表示，不可用英语缩略字词替代。</w:t>
      </w:r>
    </w:p>
    <w:p>
      <w:pPr>
        <w:spacing w:line="360" w:lineRule="auto"/>
        <w:ind w:firstLine="480" w:firstLineChars="200"/>
        <w:rPr>
          <w:rFonts w:ascii="宋体" w:hAnsi="宋体" w:cs="宋体"/>
          <w:sz w:val="24"/>
          <w:szCs w:val="24"/>
        </w:rPr>
      </w:pPr>
      <w:r>
        <w:rPr>
          <w:rFonts w:hint="eastAsia" w:ascii="宋体" w:hAnsi="宋体" w:cs="宋体"/>
          <w:sz w:val="24"/>
          <w:szCs w:val="24"/>
        </w:rPr>
        <w:t>7.本技术服务合同包括乙方所有技术和设备，应符合相应的标准规范或法规的最新版本或其修正本的要求, 除非另有特别说明。</w:t>
      </w:r>
    </w:p>
    <w:p>
      <w:pPr>
        <w:spacing w:line="360" w:lineRule="auto"/>
        <w:ind w:firstLine="480" w:firstLineChars="200"/>
        <w:rPr>
          <w:rFonts w:ascii="宋体" w:hAnsi="宋体" w:cs="宋体"/>
          <w:sz w:val="24"/>
          <w:szCs w:val="24"/>
        </w:rPr>
      </w:pPr>
      <w:r>
        <w:rPr>
          <w:rFonts w:hint="eastAsia" w:ascii="宋体" w:hAnsi="宋体" w:cs="宋体"/>
          <w:sz w:val="24"/>
          <w:szCs w:val="24"/>
        </w:rPr>
        <w:t>8.解说人员必须专业级文体广播播音员。</w:t>
      </w:r>
    </w:p>
    <w:p>
      <w:pPr>
        <w:spacing w:line="360" w:lineRule="auto"/>
        <w:ind w:firstLine="482" w:firstLineChars="200"/>
        <w:rPr>
          <w:rFonts w:ascii="宋体" w:hAnsi="宋体" w:cs="宋体"/>
          <w:b/>
          <w:bCs/>
          <w:sz w:val="24"/>
          <w:szCs w:val="24"/>
        </w:rPr>
      </w:pPr>
      <w:r>
        <w:rPr>
          <w:rFonts w:hint="eastAsia" w:ascii="宋体" w:hAnsi="宋体" w:cs="宋体"/>
          <w:b/>
          <w:bCs/>
          <w:sz w:val="24"/>
          <w:szCs w:val="24"/>
        </w:rPr>
        <w:t>四、其他要求</w:t>
      </w:r>
    </w:p>
    <w:p>
      <w:pPr>
        <w:spacing w:line="360" w:lineRule="auto"/>
        <w:ind w:firstLine="480" w:firstLineChars="200"/>
        <w:rPr>
          <w:rFonts w:ascii="宋体" w:hAnsi="宋体" w:cs="宋体"/>
          <w:sz w:val="24"/>
          <w:szCs w:val="24"/>
        </w:rPr>
      </w:pPr>
      <w:r>
        <w:rPr>
          <w:rFonts w:hint="eastAsia" w:ascii="宋体" w:hAnsi="宋体" w:cs="宋体"/>
          <w:sz w:val="24"/>
          <w:szCs w:val="24"/>
        </w:rPr>
        <w:t>1.本规范书所使用的标准如遇与提供的服务执行标准发生矛盾时，应按较高标准执行。</w:t>
      </w:r>
    </w:p>
    <w:p>
      <w:pPr>
        <w:spacing w:line="360" w:lineRule="auto"/>
        <w:ind w:firstLine="480" w:firstLineChars="200"/>
        <w:rPr>
          <w:rFonts w:ascii="宋体" w:hAnsi="宋体" w:cs="宋体"/>
          <w:sz w:val="24"/>
          <w:szCs w:val="24"/>
        </w:rPr>
      </w:pPr>
      <w:bookmarkStart w:id="0" w:name="_Toc59457548"/>
      <w:bookmarkStart w:id="1" w:name="_Toc11502661"/>
      <w:r>
        <w:rPr>
          <w:rFonts w:hint="eastAsia" w:ascii="宋体" w:hAnsi="宋体" w:cs="宋体"/>
          <w:sz w:val="24"/>
          <w:szCs w:val="24"/>
        </w:rPr>
        <w:t>2.本规范书所使用的标准如遇与提供的服务执行标准发生矛盾时，应按较高标准执行。</w:t>
      </w:r>
    </w:p>
    <w:p>
      <w:pPr>
        <w:spacing w:line="360" w:lineRule="auto"/>
        <w:ind w:firstLine="480" w:firstLineChars="200"/>
        <w:rPr>
          <w:rFonts w:ascii="宋体" w:hAnsi="宋体" w:cs="宋体"/>
          <w:sz w:val="24"/>
          <w:szCs w:val="24"/>
        </w:rPr>
      </w:pPr>
      <w:r>
        <w:rPr>
          <w:rFonts w:hint="eastAsia" w:ascii="宋体" w:hAnsi="宋体" w:cs="宋体"/>
          <w:sz w:val="24"/>
          <w:szCs w:val="24"/>
        </w:rPr>
        <w:t>3.本规范书经甲乙双方确认后作为服务合同的内容。</w:t>
      </w:r>
      <w:bookmarkEnd w:id="0"/>
      <w:bookmarkEnd w:id="1"/>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黑体">
    <w:panose1 w:val="02010609060101010101"/>
    <w:charset w:val="86"/>
    <w:family w:val="swiss"/>
    <w:pitch w:val="default"/>
    <w:sig w:usb0="800002BF" w:usb1="38CF7CFA" w:usb2="00000016" w:usb3="00000000" w:csb0="00040001" w:csb1="00000000"/>
  </w:font>
  <w:font w:name="仿宋_GB2312">
    <w:altName w:val="仿宋"/>
    <w:panose1 w:val="02010609030101010101"/>
    <w:charset w:val="86"/>
    <w:family w:val="swiss"/>
    <w:pitch w:val="default"/>
    <w:sig w:usb0="00000000" w:usb1="00000000" w:usb2="00000010" w:usb3="00000000" w:csb0="00040000" w:csb1="00000000"/>
  </w:font>
  <w:font w:name="Arial">
    <w:panose1 w:val="020B0604020202020204"/>
    <w:charset w:val="00"/>
    <w:family w:val="decorative"/>
    <w:pitch w:val="default"/>
    <w:sig w:usb0="E0002AFF" w:usb1="C0007843" w:usb2="00000009" w:usb3="00000000" w:csb0="400001FF" w:csb1="FFFF0000"/>
  </w:font>
  <w:font w:name="Calibri Light">
    <w:panose1 w:val="020F0302020204030204"/>
    <w:charset w:val="00"/>
    <w:family w:val="decorative"/>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宋体" w:hAnsi="宋体" w:cs="宋体"/>
                              <w:sz w:val="21"/>
                              <w:szCs w:val="21"/>
                            </w:rPr>
                          </w:pPr>
                          <w:r>
                            <w:rPr>
                              <w:rFonts w:hint="eastAsia" w:ascii="宋体" w:hAnsi="宋体" w:cs="宋体"/>
                              <w:sz w:val="21"/>
                              <w:szCs w:val="21"/>
                            </w:rPr>
                            <w:fldChar w:fldCharType="begin"/>
                          </w:r>
                          <w:r>
                            <w:rPr>
                              <w:rFonts w:hint="eastAsia" w:ascii="宋体" w:hAnsi="宋体" w:cs="宋体"/>
                              <w:sz w:val="21"/>
                              <w:szCs w:val="21"/>
                            </w:rPr>
                            <w:instrText xml:space="preserve"> PAGE  \* MERGEFORMAT </w:instrText>
                          </w:r>
                          <w:r>
                            <w:rPr>
                              <w:rFonts w:hint="eastAsia" w:ascii="宋体" w:hAnsi="宋体" w:cs="宋体"/>
                              <w:sz w:val="21"/>
                              <w:szCs w:val="21"/>
                            </w:rPr>
                            <w:fldChar w:fldCharType="separate"/>
                          </w:r>
                          <w:r>
                            <w:rPr>
                              <w:rFonts w:ascii="宋体" w:hAnsi="宋体" w:cs="宋体"/>
                              <w:sz w:val="21"/>
                              <w:szCs w:val="21"/>
                            </w:rPr>
                            <w:t>1</w:t>
                          </w:r>
                          <w:r>
                            <w:rPr>
                              <w:rFonts w:hint="eastAsia" w:ascii="宋体" w:hAnsi="宋体" w:cs="宋体"/>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5"/>
                      <w:rPr>
                        <w:rFonts w:ascii="宋体" w:hAnsi="宋体" w:cs="宋体"/>
                        <w:sz w:val="21"/>
                        <w:szCs w:val="21"/>
                      </w:rPr>
                    </w:pPr>
                    <w:r>
                      <w:rPr>
                        <w:rFonts w:hint="eastAsia" w:ascii="宋体" w:hAnsi="宋体" w:cs="宋体"/>
                        <w:sz w:val="21"/>
                        <w:szCs w:val="21"/>
                      </w:rPr>
                      <w:fldChar w:fldCharType="begin"/>
                    </w:r>
                    <w:r>
                      <w:rPr>
                        <w:rFonts w:hint="eastAsia" w:ascii="宋体" w:hAnsi="宋体" w:cs="宋体"/>
                        <w:sz w:val="21"/>
                        <w:szCs w:val="21"/>
                      </w:rPr>
                      <w:instrText xml:space="preserve"> PAGE  \* MERGEFORMAT </w:instrText>
                    </w:r>
                    <w:r>
                      <w:rPr>
                        <w:rFonts w:hint="eastAsia" w:ascii="宋体" w:hAnsi="宋体" w:cs="宋体"/>
                        <w:sz w:val="21"/>
                        <w:szCs w:val="21"/>
                      </w:rPr>
                      <w:fldChar w:fldCharType="separate"/>
                    </w:r>
                    <w:r>
                      <w:rPr>
                        <w:rFonts w:ascii="宋体" w:hAnsi="宋体" w:cs="宋体"/>
                        <w:sz w:val="21"/>
                        <w:szCs w:val="21"/>
                      </w:rPr>
                      <w:t>1</w:t>
                    </w:r>
                    <w:r>
                      <w:rPr>
                        <w:rFonts w:hint="eastAsia" w:ascii="宋体" w:hAnsi="宋体" w:cs="宋体"/>
                        <w:sz w:val="21"/>
                        <w:szCs w:val="21"/>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008538901">
    <w:nsid w:val="B352A915"/>
    <w:multiLevelType w:val="singleLevel"/>
    <w:tmpl w:val="B352A915"/>
    <w:lvl w:ilvl="0" w:tentative="1">
      <w:start w:val="1"/>
      <w:numFmt w:val="decimal"/>
      <w:lvlText w:val="%1."/>
      <w:lvlJc w:val="left"/>
      <w:pPr>
        <w:tabs>
          <w:tab w:val="left" w:pos="312"/>
        </w:tabs>
      </w:pPr>
    </w:lvl>
  </w:abstractNum>
  <w:abstractNum w:abstractNumId="4186719461">
    <w:nsid w:val="F98C44E5"/>
    <w:multiLevelType w:val="singleLevel"/>
    <w:tmpl w:val="F98C44E5"/>
    <w:lvl w:ilvl="0" w:tentative="1">
      <w:start w:val="1"/>
      <w:numFmt w:val="decimal"/>
      <w:suff w:val="nothing"/>
      <w:lvlText w:val="%1、"/>
      <w:lvlJc w:val="left"/>
      <w:pPr>
        <w:ind w:left="-140"/>
      </w:pPr>
    </w:lvl>
  </w:abstractNum>
  <w:num w:numId="1">
    <w:abstractNumId w:val="4186719461"/>
  </w:num>
  <w:num w:numId="2">
    <w:abstractNumId w:val="300853890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2AEB"/>
    <w:rsid w:val="00086226"/>
    <w:rsid w:val="000E11CF"/>
    <w:rsid w:val="000F2AEB"/>
    <w:rsid w:val="001203C8"/>
    <w:rsid w:val="00121631"/>
    <w:rsid w:val="00133B3D"/>
    <w:rsid w:val="00192F6B"/>
    <w:rsid w:val="0019472B"/>
    <w:rsid w:val="00196634"/>
    <w:rsid w:val="001C234E"/>
    <w:rsid w:val="001D214F"/>
    <w:rsid w:val="001F759A"/>
    <w:rsid w:val="00206C32"/>
    <w:rsid w:val="00210732"/>
    <w:rsid w:val="00213C14"/>
    <w:rsid w:val="00223002"/>
    <w:rsid w:val="00287377"/>
    <w:rsid w:val="002D1289"/>
    <w:rsid w:val="00325005"/>
    <w:rsid w:val="003266F4"/>
    <w:rsid w:val="00336BE6"/>
    <w:rsid w:val="00340FDE"/>
    <w:rsid w:val="003A320C"/>
    <w:rsid w:val="003A36BA"/>
    <w:rsid w:val="00465279"/>
    <w:rsid w:val="004762AD"/>
    <w:rsid w:val="00547F1F"/>
    <w:rsid w:val="005A2892"/>
    <w:rsid w:val="005B6375"/>
    <w:rsid w:val="0060468B"/>
    <w:rsid w:val="006729B1"/>
    <w:rsid w:val="006A28A2"/>
    <w:rsid w:val="006A736A"/>
    <w:rsid w:val="00733294"/>
    <w:rsid w:val="00775DC9"/>
    <w:rsid w:val="00780AF8"/>
    <w:rsid w:val="0078340B"/>
    <w:rsid w:val="0079271D"/>
    <w:rsid w:val="008017E2"/>
    <w:rsid w:val="00801DD6"/>
    <w:rsid w:val="00811A7C"/>
    <w:rsid w:val="0083100F"/>
    <w:rsid w:val="00857952"/>
    <w:rsid w:val="008A2F54"/>
    <w:rsid w:val="008F665F"/>
    <w:rsid w:val="00920AF7"/>
    <w:rsid w:val="009529DA"/>
    <w:rsid w:val="00987243"/>
    <w:rsid w:val="009A2B23"/>
    <w:rsid w:val="009B049E"/>
    <w:rsid w:val="009B4AB6"/>
    <w:rsid w:val="009B4F23"/>
    <w:rsid w:val="009C1CD3"/>
    <w:rsid w:val="009D4A1C"/>
    <w:rsid w:val="00A32AAE"/>
    <w:rsid w:val="00A473FA"/>
    <w:rsid w:val="00A82314"/>
    <w:rsid w:val="00A952A3"/>
    <w:rsid w:val="00BC22D3"/>
    <w:rsid w:val="00BD1AE1"/>
    <w:rsid w:val="00C2331F"/>
    <w:rsid w:val="00C727D6"/>
    <w:rsid w:val="00CB4F9B"/>
    <w:rsid w:val="00CD03B0"/>
    <w:rsid w:val="00CF35C7"/>
    <w:rsid w:val="00D2729A"/>
    <w:rsid w:val="00D55961"/>
    <w:rsid w:val="00E01989"/>
    <w:rsid w:val="00E33A9E"/>
    <w:rsid w:val="00E40823"/>
    <w:rsid w:val="00E51A51"/>
    <w:rsid w:val="00E552EC"/>
    <w:rsid w:val="00E56FBF"/>
    <w:rsid w:val="00E677A6"/>
    <w:rsid w:val="00E85200"/>
    <w:rsid w:val="00FA185D"/>
    <w:rsid w:val="00FD0A3E"/>
    <w:rsid w:val="00FE6A70"/>
    <w:rsid w:val="00FF15A0"/>
    <w:rsid w:val="02992372"/>
    <w:rsid w:val="02996377"/>
    <w:rsid w:val="02CA29B6"/>
    <w:rsid w:val="03691C42"/>
    <w:rsid w:val="045746BB"/>
    <w:rsid w:val="04C60D61"/>
    <w:rsid w:val="07627BF6"/>
    <w:rsid w:val="07EC620D"/>
    <w:rsid w:val="08AE0A5E"/>
    <w:rsid w:val="0AAB732D"/>
    <w:rsid w:val="133C2C37"/>
    <w:rsid w:val="13A150C7"/>
    <w:rsid w:val="14225F8A"/>
    <w:rsid w:val="14786E66"/>
    <w:rsid w:val="19A4520F"/>
    <w:rsid w:val="1A2C07CC"/>
    <w:rsid w:val="1A492FB9"/>
    <w:rsid w:val="1AC01053"/>
    <w:rsid w:val="1AE112C9"/>
    <w:rsid w:val="1B5466CC"/>
    <w:rsid w:val="1BAA455A"/>
    <w:rsid w:val="1CC93193"/>
    <w:rsid w:val="1D62310C"/>
    <w:rsid w:val="1E774FF4"/>
    <w:rsid w:val="1ED60714"/>
    <w:rsid w:val="1F297B0D"/>
    <w:rsid w:val="1F3D1F4A"/>
    <w:rsid w:val="20B5546B"/>
    <w:rsid w:val="20C80B02"/>
    <w:rsid w:val="21553A23"/>
    <w:rsid w:val="2241204E"/>
    <w:rsid w:val="22673CF7"/>
    <w:rsid w:val="249A391C"/>
    <w:rsid w:val="2535364B"/>
    <w:rsid w:val="25522020"/>
    <w:rsid w:val="25D32AED"/>
    <w:rsid w:val="263E4118"/>
    <w:rsid w:val="265857E4"/>
    <w:rsid w:val="26706C38"/>
    <w:rsid w:val="269E1732"/>
    <w:rsid w:val="27E55CAB"/>
    <w:rsid w:val="283D62DC"/>
    <w:rsid w:val="286B0FA5"/>
    <w:rsid w:val="298B59EB"/>
    <w:rsid w:val="2A4635FE"/>
    <w:rsid w:val="2CA23219"/>
    <w:rsid w:val="2D4466B3"/>
    <w:rsid w:val="2E801B20"/>
    <w:rsid w:val="310F156B"/>
    <w:rsid w:val="32D752DB"/>
    <w:rsid w:val="33A72DDB"/>
    <w:rsid w:val="33C4152A"/>
    <w:rsid w:val="33EB240D"/>
    <w:rsid w:val="34725C50"/>
    <w:rsid w:val="362A3EC6"/>
    <w:rsid w:val="37F42DC3"/>
    <w:rsid w:val="38542E4D"/>
    <w:rsid w:val="38CA54D5"/>
    <w:rsid w:val="38D84F6C"/>
    <w:rsid w:val="398B4A77"/>
    <w:rsid w:val="39950CFB"/>
    <w:rsid w:val="3A8D10BF"/>
    <w:rsid w:val="3AF93DF9"/>
    <w:rsid w:val="3B380F35"/>
    <w:rsid w:val="3B583C8F"/>
    <w:rsid w:val="3C1710E1"/>
    <w:rsid w:val="3C2A5127"/>
    <w:rsid w:val="3DB67009"/>
    <w:rsid w:val="3E1E14AC"/>
    <w:rsid w:val="3E5A35C3"/>
    <w:rsid w:val="3F333A08"/>
    <w:rsid w:val="40B67657"/>
    <w:rsid w:val="41823A99"/>
    <w:rsid w:val="41936B87"/>
    <w:rsid w:val="427B6A58"/>
    <w:rsid w:val="43BD7A19"/>
    <w:rsid w:val="486D0EBE"/>
    <w:rsid w:val="48844C35"/>
    <w:rsid w:val="49175934"/>
    <w:rsid w:val="496A4300"/>
    <w:rsid w:val="49E02796"/>
    <w:rsid w:val="4A9F5EA5"/>
    <w:rsid w:val="4B1943B3"/>
    <w:rsid w:val="4B8A6BF1"/>
    <w:rsid w:val="4BB810EF"/>
    <w:rsid w:val="4E6B036A"/>
    <w:rsid w:val="4ED80E36"/>
    <w:rsid w:val="4F677D53"/>
    <w:rsid w:val="4F865D76"/>
    <w:rsid w:val="50165142"/>
    <w:rsid w:val="513B06F6"/>
    <w:rsid w:val="51EC0637"/>
    <w:rsid w:val="52D53440"/>
    <w:rsid w:val="55556101"/>
    <w:rsid w:val="57EF459F"/>
    <w:rsid w:val="58E42D35"/>
    <w:rsid w:val="5B036C5D"/>
    <w:rsid w:val="5D1E6785"/>
    <w:rsid w:val="5DAC43CE"/>
    <w:rsid w:val="5E086B49"/>
    <w:rsid w:val="5F7442FA"/>
    <w:rsid w:val="60001607"/>
    <w:rsid w:val="60494F6B"/>
    <w:rsid w:val="610B5531"/>
    <w:rsid w:val="61F630F7"/>
    <w:rsid w:val="643C7CFB"/>
    <w:rsid w:val="64AA23ED"/>
    <w:rsid w:val="657A3E88"/>
    <w:rsid w:val="65EE3A99"/>
    <w:rsid w:val="65FC4235"/>
    <w:rsid w:val="660E46E0"/>
    <w:rsid w:val="661D05C1"/>
    <w:rsid w:val="68AA40BB"/>
    <w:rsid w:val="6A6E4160"/>
    <w:rsid w:val="6B3B4924"/>
    <w:rsid w:val="6D4400B8"/>
    <w:rsid w:val="6FDB3C83"/>
    <w:rsid w:val="701D05DF"/>
    <w:rsid w:val="7059173A"/>
    <w:rsid w:val="706053D7"/>
    <w:rsid w:val="714A631E"/>
    <w:rsid w:val="719D509E"/>
    <w:rsid w:val="71D47A91"/>
    <w:rsid w:val="740C0EAA"/>
    <w:rsid w:val="747B307C"/>
    <w:rsid w:val="74AE5C80"/>
    <w:rsid w:val="758E6DCB"/>
    <w:rsid w:val="75B73999"/>
    <w:rsid w:val="7658189C"/>
    <w:rsid w:val="779E2641"/>
    <w:rsid w:val="79601B5A"/>
    <w:rsid w:val="7A047B88"/>
    <w:rsid w:val="7A9029BA"/>
    <w:rsid w:val="7BF64C21"/>
    <w:rsid w:val="7CC35A60"/>
    <w:rsid w:val="7DF614D1"/>
    <w:rsid w:val="7E02780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character" w:default="1" w:styleId="9">
    <w:name w:val="Default Paragraph Font"/>
    <w:unhideWhenUsed/>
    <w:uiPriority w:val="1"/>
  </w:style>
  <w:style w:type="table" w:default="1" w:styleId="10">
    <w:name w:val="Normal Table"/>
    <w:unhideWhenUsed/>
    <w:uiPriority w:val="99"/>
    <w:tblPr>
      <w:tblLayout w:type="fixed"/>
      <w:tblCellMar>
        <w:top w:w="0" w:type="dxa"/>
        <w:left w:w="108" w:type="dxa"/>
        <w:bottom w:w="0" w:type="dxa"/>
        <w:right w:w="108" w:type="dxa"/>
      </w:tblCellMar>
    </w:tblPr>
  </w:style>
  <w:style w:type="paragraph" w:styleId="2">
    <w:name w:val="Normal Indent"/>
    <w:basedOn w:val="1"/>
    <w:qFormat/>
    <w:uiPriority w:val="0"/>
    <w:pPr>
      <w:adjustRightInd w:val="0"/>
      <w:spacing w:line="560" w:lineRule="exact"/>
      <w:ind w:firstLine="624"/>
      <w:jc w:val="left"/>
      <w:textAlignment w:val="baseline"/>
    </w:pPr>
    <w:rPr>
      <w:rFonts w:ascii="Times New Roman" w:hAnsi="Times New Roman" w:eastAsia="仿宋_GB2312" w:cs="Times New Roman"/>
      <w:kern w:val="0"/>
      <w:sz w:val="30"/>
      <w:szCs w:val="20"/>
    </w:rPr>
  </w:style>
  <w:style w:type="paragraph" w:styleId="3">
    <w:name w:val="Body Text First Indent"/>
    <w:basedOn w:val="4"/>
    <w:qFormat/>
    <w:uiPriority w:val="99"/>
    <w:pPr>
      <w:ind w:firstLine="420" w:firstLineChars="100"/>
    </w:pPr>
  </w:style>
  <w:style w:type="paragraph" w:styleId="4">
    <w:name w:val="Body Text"/>
    <w:basedOn w:val="1"/>
    <w:qFormat/>
    <w:uiPriority w:val="99"/>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8">
    <w:name w:val="Title"/>
    <w:basedOn w:val="1"/>
    <w:link w:val="13"/>
    <w:qFormat/>
    <w:uiPriority w:val="10"/>
    <w:pPr>
      <w:adjustRightInd w:val="0"/>
      <w:spacing w:before="240" w:after="60" w:line="360" w:lineRule="atLeast"/>
      <w:jc w:val="center"/>
      <w:outlineLvl w:val="0"/>
    </w:pPr>
    <w:rPr>
      <w:rFonts w:ascii="Arial" w:hAnsi="Arial" w:cs="Times New Roman"/>
      <w:b/>
      <w:kern w:val="0"/>
      <w:sz w:val="32"/>
      <w:szCs w:val="20"/>
      <w:lang w:val="zh-CN"/>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2">
    <w:name w:val="No Spacing"/>
    <w:link w:val="14"/>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13">
    <w:name w:val="标题 字符"/>
    <w:basedOn w:val="9"/>
    <w:link w:val="8"/>
    <w:qFormat/>
    <w:uiPriority w:val="10"/>
    <w:rPr>
      <w:rFonts w:ascii="Arial" w:hAnsi="Arial" w:eastAsia="宋体" w:cs="Times New Roman"/>
      <w:b/>
      <w:kern w:val="0"/>
      <w:sz w:val="32"/>
      <w:szCs w:val="20"/>
      <w:lang w:val="zh-CN" w:eastAsia="zh-CN"/>
    </w:rPr>
  </w:style>
  <w:style w:type="character" w:customStyle="1" w:styleId="14">
    <w:name w:val="无间隔 字符"/>
    <w:link w:val="12"/>
    <w:qFormat/>
    <w:uiPriority w:val="1"/>
    <w:rPr>
      <w:rFonts w:ascii="Times New Roman" w:hAnsi="Times New Roman" w:eastAsia="宋体" w:cs="Times New Roman"/>
      <w:szCs w:val="24"/>
    </w:rPr>
  </w:style>
  <w:style w:type="character" w:customStyle="1" w:styleId="15">
    <w:name w:val="页眉 字符"/>
    <w:basedOn w:val="9"/>
    <w:link w:val="6"/>
    <w:qFormat/>
    <w:uiPriority w:val="99"/>
    <w:rPr>
      <w:rFonts w:ascii="Calibri" w:hAnsi="Calibri" w:eastAsia="宋体" w:cs="黑体"/>
      <w:sz w:val="18"/>
      <w:szCs w:val="18"/>
    </w:rPr>
  </w:style>
  <w:style w:type="character" w:customStyle="1" w:styleId="16">
    <w:name w:val="页脚 字符"/>
    <w:basedOn w:val="9"/>
    <w:link w:val="5"/>
    <w:qFormat/>
    <w:uiPriority w:val="99"/>
    <w:rPr>
      <w:rFonts w:ascii="Calibri" w:hAnsi="Calibri" w:eastAsia="宋体" w:cs="黑体"/>
      <w:sz w:val="18"/>
      <w:szCs w:val="18"/>
    </w:rPr>
  </w:style>
  <w:style w:type="paragraph" w:customStyle="1" w:styleId="17">
    <w:name w:val="无间隔1"/>
    <w:qFormat/>
    <w:uiPriority w:val="0"/>
    <w:pPr>
      <w:widowControl w:val="0"/>
      <w:jc w:val="both"/>
    </w:pPr>
    <w:rPr>
      <w:rFonts w:ascii="Calibri" w:hAnsi="Calibri" w:eastAsia="宋体" w:cs="Times New Roman"/>
      <w:kern w:val="2"/>
      <w:sz w:val="21"/>
      <w:szCs w:val="22"/>
      <w:lang w:val="en-US" w:eastAsia="zh-CN" w:bidi="ar-SA"/>
    </w:rPr>
  </w:style>
  <w:style w:type="character" w:customStyle="1" w:styleId="18">
    <w:name w:val="fontstyle21"/>
    <w:qFormat/>
    <w:uiPriority w:val="0"/>
    <w:rPr>
      <w:rFonts w:hint="eastAsia" w:ascii="宋体" w:hAnsi="宋体" w:eastAsia="宋体"/>
      <w:color w:val="000000"/>
      <w:sz w:val="22"/>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F98F4C-E2E7-4261-9F4C-957491BFB81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798</Words>
  <Characters>4554</Characters>
  <Lines>37</Lines>
  <Paragraphs>10</Paragraphs>
  <TotalTime>0</TotalTime>
  <ScaleCrop>false</ScaleCrop>
  <LinksUpToDate>false</LinksUpToDate>
  <CharactersWithSpaces>5342</CharactersWithSpaces>
  <Application>WPS Office_10.1.0.5458_F1E327BC-269C-435d-A152-05C5408002CA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2019-01-22T06:55:00Z</dcterms:created>
  <dc:creator>李银广/BFGS/CHNG</dc:creator>
  <cp:lastModifiedBy>PC</cp:lastModifiedBy>
  <cp:lastPrinted>2022-03-11T02:26:00Z</cp:lastPrinted>
  <dcterms:modified xsi:type="dcterms:W3CDTF">2022-04-15T07:56:41Z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2052-10.1.0.5458</vt:lpwstr>
  </property>
  <property fmtid="{D5CDD505-2E9C-101B-9397-08002B2CF9AE}" pid="3" name="ICV">
    <vt:lpwstr>3A465EE0A1994251B74579670E7DAD26</vt:lpwstr>
  </property>
</Properties>
</file>